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3D" w:rsidRPr="0040543D" w:rsidRDefault="0040543D" w:rsidP="004054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0543D" w:rsidRPr="0040543D" w:rsidRDefault="0040543D" w:rsidP="004054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40543D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2825ED1F" wp14:editId="520694A7">
            <wp:extent cx="640080" cy="79909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523" cy="80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43D" w:rsidRPr="0040543D" w:rsidRDefault="0040543D" w:rsidP="004054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40543D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</w:t>
      </w:r>
      <w:r w:rsidRPr="0040543D">
        <w:rPr>
          <w:rFonts w:ascii="Times New Roman" w:eastAsia="Calibri" w:hAnsi="Times New Roman" w:cs="Times New Roman"/>
          <w:b/>
          <w:bCs/>
          <w:sz w:val="28"/>
          <w:szCs w:val="28"/>
        </w:rPr>
        <w:t>Российская Федерация</w:t>
      </w:r>
    </w:p>
    <w:p w:rsidR="0040543D" w:rsidRPr="0040543D" w:rsidRDefault="0040543D" w:rsidP="004054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543D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</w:t>
      </w:r>
    </w:p>
    <w:p w:rsidR="0040543D" w:rsidRPr="0040543D" w:rsidRDefault="0040543D" w:rsidP="004054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543D">
        <w:rPr>
          <w:rFonts w:ascii="Times New Roman" w:eastAsia="Calibri" w:hAnsi="Times New Roman" w:cs="Times New Roman"/>
          <w:b/>
          <w:bCs/>
          <w:sz w:val="28"/>
          <w:szCs w:val="28"/>
        </w:rPr>
        <w:t>Железнодорожного сельского поселения</w:t>
      </w:r>
    </w:p>
    <w:p w:rsidR="0040543D" w:rsidRPr="0040543D" w:rsidRDefault="0040543D" w:rsidP="004054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40543D">
        <w:rPr>
          <w:rFonts w:ascii="Times New Roman" w:eastAsia="Calibri" w:hAnsi="Times New Roman" w:cs="Times New Roman"/>
          <w:b/>
          <w:bCs/>
          <w:sz w:val="28"/>
          <w:szCs w:val="28"/>
        </w:rPr>
        <w:t>Усольского</w:t>
      </w:r>
      <w:proofErr w:type="spellEnd"/>
      <w:r w:rsidRPr="004054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муниципального района Иркутской области</w:t>
      </w:r>
    </w:p>
    <w:p w:rsidR="0040543D" w:rsidRPr="0040543D" w:rsidRDefault="0040543D" w:rsidP="004054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0543D" w:rsidRPr="0040543D" w:rsidRDefault="0040543D" w:rsidP="004054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543D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40543D" w:rsidRPr="0040543D" w:rsidRDefault="0040543D" w:rsidP="004054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543D" w:rsidRPr="0040543D" w:rsidRDefault="0040543D" w:rsidP="004054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43D">
        <w:rPr>
          <w:rFonts w:ascii="Times New Roman" w:eastAsia="Calibri" w:hAnsi="Times New Roman" w:cs="Times New Roman"/>
          <w:sz w:val="28"/>
          <w:szCs w:val="28"/>
        </w:rPr>
        <w:t>От</w:t>
      </w:r>
      <w:r w:rsidR="00BC1F95">
        <w:rPr>
          <w:rFonts w:ascii="Times New Roman" w:eastAsia="Calibri" w:hAnsi="Times New Roman" w:cs="Times New Roman"/>
          <w:sz w:val="28"/>
          <w:szCs w:val="28"/>
        </w:rPr>
        <w:t xml:space="preserve"> 03.12.2025 г.</w:t>
      </w:r>
      <w:bookmarkStart w:id="0" w:name="_GoBack"/>
      <w:bookmarkEnd w:id="0"/>
      <w:r w:rsidRPr="004054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№</w:t>
      </w:r>
      <w:r w:rsidR="00BC1F95">
        <w:rPr>
          <w:rFonts w:ascii="Times New Roman" w:eastAsia="Calibri" w:hAnsi="Times New Roman" w:cs="Times New Roman"/>
          <w:sz w:val="28"/>
          <w:szCs w:val="28"/>
        </w:rPr>
        <w:t>447</w:t>
      </w:r>
    </w:p>
    <w:p w:rsidR="0040543D" w:rsidRPr="0040543D" w:rsidRDefault="0040543D" w:rsidP="004054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43D">
        <w:rPr>
          <w:rFonts w:ascii="Times New Roman" w:eastAsia="Calibri" w:hAnsi="Times New Roman" w:cs="Times New Roman"/>
          <w:sz w:val="28"/>
          <w:szCs w:val="28"/>
        </w:rPr>
        <w:t>п. Железнодорожный</w:t>
      </w:r>
    </w:p>
    <w:p w:rsidR="0040543D" w:rsidRPr="0040543D" w:rsidRDefault="0040543D" w:rsidP="0040543D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Calibri" w:hAnsi="Times New Roman" w:cs="Times New Roman"/>
          <w:sz w:val="28"/>
          <w:szCs w:val="28"/>
        </w:rPr>
      </w:pPr>
      <w:r w:rsidRPr="004054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543D" w:rsidRPr="0040543D" w:rsidRDefault="0040543D" w:rsidP="004054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Методики прогнозирования поступлений доходов в бюджет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Железнодорожного </w:t>
      </w:r>
      <w:r w:rsidRPr="00405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Усольского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r w:rsidR="000F2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ркутской области</w:t>
      </w:r>
    </w:p>
    <w:p w:rsidR="0040543D" w:rsidRPr="0040543D" w:rsidRDefault="0040543D" w:rsidP="004054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543D" w:rsidRPr="0040543D" w:rsidRDefault="0040543D" w:rsidP="004054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Pr="0040543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1 статьи 160.1 Бюджетного кодекса Российской Федерации, Постановлением Правительства РФ от 23 июня 2016г. № 574 «Об общих требованиях к методике прогнозирования поступлений доходов в бюджеты бюджетной системы Российской Федерации"</w:t>
      </w:r>
      <w:r w:rsidRPr="0040543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23, 46 </w:t>
      </w:r>
      <w:r w:rsidRPr="0040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Железнодорожного сельского поселения </w:t>
      </w:r>
      <w:proofErr w:type="spellStart"/>
      <w:r w:rsidRPr="004054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Усольского</w:t>
      </w:r>
      <w:proofErr w:type="spellEnd"/>
      <w:r w:rsidRPr="0040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Иркутской области, администрация Железнодорожного сельского поселения </w:t>
      </w:r>
      <w:proofErr w:type="spellStart"/>
      <w:r w:rsidRPr="004054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Усольского</w:t>
      </w:r>
      <w:proofErr w:type="spellEnd"/>
      <w:r w:rsidRPr="0040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Иркутской области,</w:t>
      </w:r>
      <w:proofErr w:type="gramEnd"/>
    </w:p>
    <w:p w:rsidR="0040543D" w:rsidRPr="0040543D" w:rsidRDefault="0040543D" w:rsidP="0040543D">
      <w:pPr>
        <w:spacing w:after="0" w:line="240" w:lineRule="auto"/>
        <w:ind w:firstLine="4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0543D" w:rsidRDefault="0040543D" w:rsidP="004054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40543D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          1.</w:t>
      </w:r>
      <w:r w:rsidR="001D255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0543D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Утвердить Методику прогнозирования поступлений доходов в бюджет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Железнодорожного </w:t>
      </w:r>
      <w:r w:rsidRPr="0040543D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сельского поселения</w:t>
      </w:r>
      <w:r w:rsidRPr="0040543D">
        <w:t xml:space="preserve"> </w:t>
      </w:r>
      <w:proofErr w:type="spellStart"/>
      <w:r w:rsidRPr="0040543D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Усольского</w:t>
      </w:r>
      <w:proofErr w:type="spellEnd"/>
      <w:r w:rsidRPr="0040543D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Иркутской области</w:t>
      </w:r>
      <w:r w:rsidRPr="0040543D"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40543D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согласно приложению к настоящему постановлению.</w:t>
      </w:r>
    </w:p>
    <w:p w:rsidR="00B05174" w:rsidRPr="00B05174" w:rsidRDefault="00B05174" w:rsidP="00B0517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         2.</w:t>
      </w:r>
      <w:r w:rsidR="001D255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05174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Признать утратившим силу постановление администрация Железнодорожного сельского поселения </w:t>
      </w:r>
      <w:proofErr w:type="spellStart"/>
      <w:r w:rsidRPr="00B05174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Усольского</w:t>
      </w:r>
      <w:proofErr w:type="spellEnd"/>
      <w:r w:rsidRPr="00B05174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Иркутской области от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29.08.2016 </w:t>
      </w:r>
      <w:r w:rsidRPr="00B05174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г. №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397</w:t>
      </w:r>
      <w:r w:rsidRPr="00B05174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«</w:t>
      </w:r>
      <w:r w:rsidRPr="00B05174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Об утверждении Методики прогнозирования налоговых и неналоговых доходов бюджета сельского поселения Железнодорожного муниципального образования</w:t>
      </w:r>
      <w:r w:rsidRPr="00B05174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.</w:t>
      </w:r>
    </w:p>
    <w:p w:rsidR="00B05174" w:rsidRPr="0040543D" w:rsidRDefault="00B05174" w:rsidP="00B0517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         3.</w:t>
      </w:r>
      <w:r w:rsidR="001D255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05174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Опубликовать настоящее постановление в газете «Вестник </w:t>
      </w:r>
      <w:proofErr w:type="spellStart"/>
      <w:r w:rsidRPr="00B05174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п</w:t>
      </w:r>
      <w:proofErr w:type="gramStart"/>
      <w:r w:rsidRPr="00B05174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.Ж</w:t>
      </w:r>
      <w:proofErr w:type="gramEnd"/>
      <w:r w:rsidRPr="00B05174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елезнодорожный</w:t>
      </w:r>
      <w:proofErr w:type="spellEnd"/>
      <w:r w:rsidRPr="00B05174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» и разместить на официальном сайте администрации  </w:t>
      </w:r>
      <w:proofErr w:type="spellStart"/>
      <w:r w:rsidRPr="00B05174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адмжелезнодорожный.рф</w:t>
      </w:r>
      <w:proofErr w:type="spellEnd"/>
      <w:r w:rsidRPr="00B05174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.</w:t>
      </w:r>
    </w:p>
    <w:p w:rsidR="00410254" w:rsidRDefault="0040543D" w:rsidP="001D25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ar-SA"/>
        </w:rPr>
      </w:pPr>
      <w:r w:rsidRPr="0040543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ar-SA"/>
        </w:rPr>
        <w:t xml:space="preserve">           </w:t>
      </w:r>
      <w:r w:rsidR="001D255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ar-SA"/>
        </w:rPr>
        <w:t xml:space="preserve">4. </w:t>
      </w:r>
      <w:r w:rsidR="001D255A" w:rsidRPr="001D255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ar-SA"/>
        </w:rPr>
        <w:t>Настоящее постановление  вступает в силу после дня его официального опубликования в средствах массовой информации.</w:t>
      </w:r>
    </w:p>
    <w:p w:rsidR="001D255A" w:rsidRDefault="001D255A" w:rsidP="001D25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1D255A" w:rsidRPr="001D255A" w:rsidRDefault="001D255A" w:rsidP="001D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1D255A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1D25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Железнодорожного сельского поселения </w:t>
      </w:r>
    </w:p>
    <w:p w:rsidR="001D255A" w:rsidRPr="001D255A" w:rsidRDefault="001D255A" w:rsidP="001D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25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Усольского</w:t>
      </w:r>
      <w:proofErr w:type="spellEnd"/>
      <w:r w:rsidRPr="001D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1D255A" w:rsidRPr="001D255A" w:rsidRDefault="001D255A" w:rsidP="001D25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Т.П.Мартынова</w:t>
      </w:r>
      <w:proofErr w:type="spellEnd"/>
    </w:p>
    <w:p w:rsidR="001D255A" w:rsidRPr="001D255A" w:rsidRDefault="001D255A" w:rsidP="001D25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920"/>
        <w:gridCol w:w="4650"/>
      </w:tblGrid>
      <w:tr w:rsidR="000F2C8A" w:rsidRPr="000F2C8A" w:rsidTr="00F023BB">
        <w:tc>
          <w:tcPr>
            <w:tcW w:w="4920" w:type="dxa"/>
            <w:shd w:val="clear" w:color="auto" w:fill="auto"/>
          </w:tcPr>
          <w:p w:rsidR="000F2C8A" w:rsidRPr="000F2C8A" w:rsidRDefault="000F2C8A" w:rsidP="000F2C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50" w:type="dxa"/>
            <w:shd w:val="clear" w:color="auto" w:fill="auto"/>
          </w:tcPr>
          <w:p w:rsidR="000F2C8A" w:rsidRPr="000F2C8A" w:rsidRDefault="000F2C8A" w:rsidP="000F2C8A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F2C8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Приложение </w:t>
            </w:r>
          </w:p>
          <w:p w:rsidR="000F2C8A" w:rsidRPr="000F2C8A" w:rsidRDefault="000F2C8A" w:rsidP="000F2C8A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F2C8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к постановлению администрации </w:t>
            </w:r>
          </w:p>
          <w:p w:rsidR="000F2C8A" w:rsidRPr="000F2C8A" w:rsidRDefault="000F2C8A" w:rsidP="000F2C8A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F2C8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Железнодорожного сельского поселения </w:t>
            </w:r>
          </w:p>
          <w:p w:rsidR="000F2C8A" w:rsidRPr="000F2C8A" w:rsidRDefault="000F2C8A" w:rsidP="000F2C8A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0F2C8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Усольского</w:t>
            </w:r>
            <w:proofErr w:type="spellEnd"/>
            <w:r w:rsidRPr="000F2C8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муниципального района </w:t>
            </w:r>
          </w:p>
          <w:p w:rsidR="000F2C8A" w:rsidRPr="000F2C8A" w:rsidRDefault="000F2C8A" w:rsidP="000F2C8A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F2C8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Иркутской области</w:t>
            </w:r>
            <w:r w:rsidRPr="000F2C8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F2C8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от</w:t>
            </w:r>
            <w:proofErr w:type="gramEnd"/>
            <w:r w:rsidRPr="000F2C8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№ </w:t>
            </w:r>
          </w:p>
        </w:tc>
      </w:tr>
    </w:tbl>
    <w:p w:rsidR="000F2C8A" w:rsidRPr="000F2C8A" w:rsidRDefault="000F2C8A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:rsidR="000F2C8A" w:rsidRPr="000F2C8A" w:rsidRDefault="000F2C8A" w:rsidP="000F2C8A">
      <w:pPr>
        <w:tabs>
          <w:tab w:val="left" w:pos="1134"/>
        </w:tabs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  <w:t>Методика</w:t>
      </w:r>
    </w:p>
    <w:p w:rsidR="000F2C8A" w:rsidRPr="000F2C8A" w:rsidRDefault="000F2C8A" w:rsidP="000F2C8A">
      <w:pPr>
        <w:tabs>
          <w:tab w:val="left" w:pos="1134"/>
        </w:tabs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  <w:t xml:space="preserve">прогнозирования поступлений доходов в бюджет </w:t>
      </w:r>
    </w:p>
    <w:p w:rsidR="000F2C8A" w:rsidRDefault="000F2C8A" w:rsidP="000F2C8A">
      <w:pPr>
        <w:tabs>
          <w:tab w:val="left" w:pos="1134"/>
        </w:tabs>
        <w:suppressAutoHyphens/>
        <w:autoSpaceDE w:val="0"/>
        <w:spacing w:after="0" w:line="240" w:lineRule="auto"/>
        <w:ind w:left="709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ar-SA"/>
        </w:rPr>
        <w:t xml:space="preserve">Железнодорожного сельского поселения </w:t>
      </w:r>
      <w:proofErr w:type="spellStart"/>
      <w:r w:rsidRPr="000F2C8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ar-SA"/>
        </w:rPr>
        <w:t>Усольского</w:t>
      </w:r>
      <w:proofErr w:type="spellEnd"/>
      <w:r w:rsidRPr="000F2C8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ar-SA"/>
        </w:rPr>
        <w:t xml:space="preserve"> муниципального района Иркутской области</w:t>
      </w:r>
    </w:p>
    <w:p w:rsidR="000F2C8A" w:rsidRPr="000F2C8A" w:rsidRDefault="000F2C8A" w:rsidP="000F2C8A">
      <w:pPr>
        <w:tabs>
          <w:tab w:val="left" w:pos="1134"/>
        </w:tabs>
        <w:suppressAutoHyphens/>
        <w:autoSpaceDE w:val="0"/>
        <w:spacing w:after="0" w:line="240" w:lineRule="auto"/>
        <w:ind w:left="709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0F2C8A" w:rsidRPr="000F2C8A" w:rsidRDefault="000F2C8A" w:rsidP="000F2C8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  <w:t>Общие положения</w:t>
      </w:r>
    </w:p>
    <w:p w:rsidR="000F2C8A" w:rsidRPr="000F2C8A" w:rsidRDefault="000F2C8A" w:rsidP="000F2C8A">
      <w:pPr>
        <w:suppressAutoHyphens/>
        <w:spacing w:after="0" w:line="240" w:lineRule="auto"/>
        <w:ind w:left="1080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0F2C8A" w:rsidRPr="000F2C8A" w:rsidRDefault="000F2C8A" w:rsidP="000F2C8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C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Настоящая Методика прогнозирования поступлений доходов в бюджет </w:t>
      </w:r>
      <w:r w:rsidRPr="000F2C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Железнодорожного сельского поселения </w:t>
      </w:r>
      <w:proofErr w:type="spellStart"/>
      <w:r w:rsidRPr="000F2C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Усольского</w:t>
      </w:r>
      <w:proofErr w:type="spellEnd"/>
      <w:r w:rsidRPr="000F2C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муниципального района Иркутской области</w:t>
      </w:r>
      <w:r w:rsidRPr="000F2C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администрирование которых осуществляет администрация </w:t>
      </w:r>
      <w:r w:rsidRPr="000F2C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Железнодорожного сельского поселения </w:t>
      </w:r>
      <w:proofErr w:type="spellStart"/>
      <w:r w:rsidRPr="000F2C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Усольского</w:t>
      </w:r>
      <w:proofErr w:type="spellEnd"/>
      <w:r w:rsidRPr="000F2C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муниципального района Иркутской области </w:t>
      </w:r>
      <w:r w:rsidRPr="000F2C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(далее - главный администратор доходов, администратор доходов)</w:t>
      </w:r>
      <w:r w:rsidRPr="000F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для составления проекта бюджета и (или) бюджетного прогноза на долгосрочный период.</w:t>
      </w:r>
      <w:r w:rsidRPr="000F2C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2C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2. </w:t>
      </w:r>
      <w:r w:rsidRPr="000F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прогнозирования разрабатывается на основе единых подходов к прогнозированию поступлений доходов в текущем финансовом году, очередном финансовом году и плановом периоде. Для текущего финансового года методика прогнозирования предусматривает, в том числе, использование данных о фактических поступлениях доходов за истекший период этого года, данные о котором подтверждены бюджетной отчетностью.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3. Перечень доходов бюджета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Железнодорожного сельского поселения </w:t>
      </w:r>
      <w:proofErr w:type="spellStart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Усольского</w:t>
      </w:r>
      <w:proofErr w:type="spellEnd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Иркутской области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, администрирование которых осуществляет администратор доходов, наделенный соответствующими полномочиями, утверждается администрацией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Железнодорожного сельского поселения </w:t>
      </w:r>
      <w:proofErr w:type="spellStart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Усольского</w:t>
      </w:r>
      <w:proofErr w:type="spellEnd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Иркутской области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в соответствии с общими требованиями, установленными Правительством Российской Федерации. 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4. Доходы бюджета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Железнодорожного сельского поселения </w:t>
      </w:r>
      <w:proofErr w:type="spellStart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Усольского</w:t>
      </w:r>
      <w:proofErr w:type="spellEnd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Иркутской области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, администрирование которых осуществляет администратор доходов, подразделяются на </w:t>
      </w:r>
      <w:proofErr w:type="gramStart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доходы</w:t>
      </w:r>
      <w:proofErr w:type="gramEnd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прогнозируемые и непрогнозируемые, но фактически поступающие в доход бюджета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Железнодорожного сельского поселения </w:t>
      </w:r>
      <w:proofErr w:type="spellStart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Усольского</w:t>
      </w:r>
      <w:proofErr w:type="spellEnd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Иркутской области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.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Прогнозирование непрогнозируемых доходов не осуществляется в связи с невозможностью достоверно определить объемы их поступлений на очередной финансовый год и плановый период. 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Планируемый объем непрогнозируемых доходов подлежит включению в доходную часть бюджета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Железнодорожного сельского поселения </w:t>
      </w:r>
      <w:proofErr w:type="spellStart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Усольского</w:t>
      </w:r>
      <w:proofErr w:type="spellEnd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Иркутской области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в течение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lastRenderedPageBreak/>
        <w:t>финансового года с учетом документов, устанавливающих соответствующие полномочия и информации о фактическом поступлении доходов.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В течение текущего года, в случае изменения тенденции поступлений по кодам непрогнозируемых доходов в сторону увеличения (уменьшения) производится корректировка планируемых объемов поступлений соответственно в сторону увеличения (уменьшения) до ожидаемого объема поступлений в текущем году.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5. </w:t>
      </w:r>
      <w:proofErr w:type="gramStart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Методика прогнозирования предусматривает использование при расчете прогнозного объема поступлений доходов оценки ожидаемых результатов работы по взысканию дебиторской задолженности по доходам, получаемой на основании данных о планирующемся зачислении, а также влияния на объем поступлений доходов отдельных решений Президента Российской Федерации, Правительства Российской Федерации, высших исполнительных органов государственной власти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Иркутской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области и представительных органов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Усольского</w:t>
      </w:r>
      <w:proofErr w:type="spellEnd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</w:t>
      </w:r>
      <w:r w:rsidRPr="000F2C8A">
        <w:t xml:space="preserve">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Иркутской области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и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Железнодорожного сельского</w:t>
      </w:r>
      <w:proofErr w:type="gramEnd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поселения </w:t>
      </w:r>
      <w:proofErr w:type="spellStart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Усольского</w:t>
      </w:r>
      <w:proofErr w:type="spellEnd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Иркутской области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.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6. Методика прогнозирования составляется с учетом нормативных правовых актов Российской Федерации,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Иркутской области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, представительного органа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Усольского</w:t>
      </w:r>
      <w:proofErr w:type="spellEnd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Иркутской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области, решений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Думы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Железнодорожного сельского поселения </w:t>
      </w:r>
      <w:proofErr w:type="spellStart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Усольского</w:t>
      </w:r>
      <w:proofErr w:type="spellEnd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Иркутской области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. При этом проекты нормативных правовых актов и (или) проекты актов, предусматривающих внесение изменений в соответствующие нормативные правовые акты, могут учитываться при расчете прогнозного объема поступлений доходов по решению должностного лица администрации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Железнодорожного сельского поселения </w:t>
      </w:r>
      <w:proofErr w:type="spellStart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Усольского</w:t>
      </w:r>
      <w:proofErr w:type="spellEnd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Иркутской области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, ответственного за составление проекта местного бюджета.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7. Прогнозирование доходов бюджета осуществляется на основе: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1) показателей прогноза социально-экономического развития Российской Федерации,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Иркутской о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бласти, </w:t>
      </w:r>
      <w:proofErr w:type="spellStart"/>
      <w:r w:rsidR="00F90E9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Усольского</w:t>
      </w:r>
      <w:proofErr w:type="spellEnd"/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</w:t>
      </w:r>
      <w:r w:rsidR="00F90E9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Иркутской области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="00F90E91" w:rsidRPr="00F90E9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Железнодорожного сельского поселения </w:t>
      </w:r>
      <w:proofErr w:type="spellStart"/>
      <w:r w:rsidR="00F90E91" w:rsidRPr="00F90E9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Усольского</w:t>
      </w:r>
      <w:proofErr w:type="spellEnd"/>
      <w:r w:rsidR="00F90E91" w:rsidRPr="00F90E9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Иркутской области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в случаях, когда прогноз соответствующего вида </w:t>
      </w:r>
      <w:r w:rsidRPr="000F2C8A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ar-SA"/>
        </w:rPr>
        <w:t xml:space="preserve">доходов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предусматривает использование показателей социально-экономического развития;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2)  основных направлений бюджетной и налоговой политики;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3) действующего бюджетного и налогового законодательства с учетом предполагаемых изменений.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8. Прогнозирование доходов бюджета включает проведение следующих мероприятий: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1) мониторинг динамики поступлений неналоговых доходов, основанный на статистических данных не менее чем за 3 года или за весь период поступлений определенных видов доходов в случае, если он не превышает 3 года;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2) расчет прогноза поступлений.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9. Для расчета прогноза поступлений используются: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lastRenderedPageBreak/>
        <w:t>1) статистическая, бюджетная и налоговая отчетность;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2) оценка поступлений доходов в бюджет поселения в текущем финансовом году;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3) материалы и сведения, предоставляемые хозяйствующими субъектами. 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Для каждого вида доходов применяется один из следующих методов (комбинация следующих методов) расчета: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усреднение - расчет на основании усреднения годовых объемов доходов бюджета не менее чем за 3 года или за весь период поступления соответствующего вида доходов в случае, если он не превышает 3 года;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 бюджета;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иной способ, который должен быть описан и обоснован.</w:t>
      </w:r>
    </w:p>
    <w:p w:rsidR="000F2C8A" w:rsidRPr="000F2C8A" w:rsidRDefault="000F2C8A" w:rsidP="000F2C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10. Прогнозирование по видам доходов осуществляется по Методике прогнозирования поступлений доходов в бюджет </w:t>
      </w:r>
      <w:r w:rsidR="00F90E91" w:rsidRPr="00F90E9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Железнодорожного сельского поселения </w:t>
      </w:r>
      <w:proofErr w:type="spellStart"/>
      <w:r w:rsidR="00F90E91" w:rsidRPr="00F90E9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Усольского</w:t>
      </w:r>
      <w:proofErr w:type="spellEnd"/>
      <w:r w:rsidR="00F90E91" w:rsidRPr="00F90E9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Иркутской области </w:t>
      </w:r>
      <w:r w:rsidRPr="000F2C8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в соответствии с приложением.</w:t>
      </w:r>
    </w:p>
    <w:p w:rsidR="000F2C8A" w:rsidRPr="000F2C8A" w:rsidRDefault="000F2C8A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0F2C8A" w:rsidRPr="000F2C8A" w:rsidRDefault="000F2C8A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0F2C8A" w:rsidRDefault="000F2C8A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</w:p>
    <w:p w:rsidR="00F90E91" w:rsidRDefault="00F90E91" w:rsidP="000F2C8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  <w:sectPr w:rsidR="00F90E91" w:rsidSect="000F2C8A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701" w:header="720" w:footer="720" w:gutter="0"/>
          <w:cols w:space="720"/>
          <w:docGrid w:linePitch="600" w:charSpace="32768"/>
        </w:sectPr>
      </w:pPr>
    </w:p>
    <w:p w:rsidR="000F2C8A" w:rsidRPr="000F2C8A" w:rsidRDefault="000F2C8A" w:rsidP="000F2C8A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>Приложение к Методике</w:t>
      </w:r>
    </w:p>
    <w:p w:rsidR="000F2C8A" w:rsidRPr="000F2C8A" w:rsidRDefault="000F2C8A" w:rsidP="000F2C8A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прогнозирования поступлений доходов </w:t>
      </w:r>
    </w:p>
    <w:p w:rsidR="00F90E91" w:rsidRDefault="000F2C8A" w:rsidP="000F2C8A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0F2C8A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в бюджет </w:t>
      </w:r>
      <w:r w:rsidR="00F90E91" w:rsidRPr="00F90E91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Железнодорожного сельского поселения </w:t>
      </w:r>
    </w:p>
    <w:p w:rsidR="000F2C8A" w:rsidRPr="000F2C8A" w:rsidRDefault="00F90E91" w:rsidP="000F2C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60"/>
          <w:sz w:val="26"/>
          <w:szCs w:val="26"/>
          <w:lang w:eastAsia="ar-SA"/>
        </w:rPr>
      </w:pPr>
      <w:proofErr w:type="spellStart"/>
      <w:r w:rsidRPr="00F90E91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Усольского</w:t>
      </w:r>
      <w:proofErr w:type="spellEnd"/>
      <w:r w:rsidRPr="00F90E91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 Иркутской области</w:t>
      </w:r>
    </w:p>
    <w:p w:rsidR="000F2C8A" w:rsidRPr="000F2C8A" w:rsidRDefault="000F2C8A" w:rsidP="000F2C8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60"/>
          <w:sz w:val="26"/>
          <w:szCs w:val="26"/>
          <w:lang w:eastAsia="ar-SA"/>
        </w:rPr>
      </w:pPr>
    </w:p>
    <w:p w:rsidR="000F2C8A" w:rsidRPr="000F2C8A" w:rsidRDefault="000F2C8A" w:rsidP="000F2C8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  <w:r w:rsidRPr="000F2C8A">
        <w:rPr>
          <w:rFonts w:ascii="Times New Roman" w:eastAsia="Times New Roman" w:hAnsi="Times New Roman" w:cs="Times New Roman"/>
          <w:b/>
          <w:bCs/>
          <w:color w:val="000000"/>
          <w:spacing w:val="60"/>
          <w:sz w:val="26"/>
          <w:szCs w:val="26"/>
          <w:lang w:eastAsia="ar-SA"/>
        </w:rPr>
        <w:t>МЕТОДИКА</w:t>
      </w:r>
    </w:p>
    <w:p w:rsidR="00F90E91" w:rsidRDefault="000F2C8A" w:rsidP="000F2C8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  <w:r w:rsidRPr="000F2C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 xml:space="preserve">прогнозирования поступлений доходов в бюджет </w:t>
      </w:r>
      <w:r w:rsidR="00F90E91" w:rsidRPr="00F90E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 xml:space="preserve">Железнодорожного сельского поселения </w:t>
      </w:r>
    </w:p>
    <w:p w:rsidR="000F2C8A" w:rsidRPr="000F2C8A" w:rsidRDefault="00F90E91" w:rsidP="000F2C8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  <w:proofErr w:type="spellStart"/>
      <w:r w:rsidRPr="00F90E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>Усольского</w:t>
      </w:r>
      <w:proofErr w:type="spellEnd"/>
      <w:r w:rsidRPr="00F90E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 xml:space="preserve"> муниципального района Иркутской области</w:t>
      </w:r>
    </w:p>
    <w:p w:rsidR="000F2C8A" w:rsidRPr="000F2C8A" w:rsidRDefault="000F2C8A" w:rsidP="000F2C8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</w:p>
    <w:tbl>
      <w:tblPr>
        <w:tblW w:w="15627" w:type="dxa"/>
        <w:tblInd w:w="-5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653"/>
        <w:gridCol w:w="1111"/>
        <w:gridCol w:w="2008"/>
        <w:gridCol w:w="1882"/>
        <w:gridCol w:w="977"/>
        <w:gridCol w:w="1373"/>
        <w:gridCol w:w="3544"/>
        <w:gridCol w:w="3545"/>
      </w:tblGrid>
      <w:tr w:rsidR="000F2C8A" w:rsidRPr="000F2C8A" w:rsidTr="00F023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№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br/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Код главного админист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softHyphen/>
              <w:t>ратора доходов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Наимено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softHyphen/>
              <w:t>-вание</w:t>
            </w:r>
            <w:proofErr w:type="spellEnd"/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главного администратора доходов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КБК 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ar-SA"/>
              </w:rPr>
              <w:endnoteReference w:customMarkFollows="1" w:id="1"/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Наимено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softHyphen/>
              <w:t>вание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br/>
              <w:t>КБК доходов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Наимено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softHyphen/>
              <w:t>вание метода расчета 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ar-SA"/>
              </w:rPr>
              <w:endnoteReference w:customMarkFollows="1" w:id="2"/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Формула расчета 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ar-SA"/>
              </w:rPr>
              <w:endnoteReference w:customMarkFollows="1" w:id="3"/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Алгоритм расчета 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ar-SA"/>
              </w:rPr>
              <w:endnoteReference w:customMarkFollows="1" w:id="4"/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Описание показателей 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ar-SA"/>
              </w:rPr>
              <w:endnoteReference w:customMarkFollows="1" w:id="5"/>
              <w:t>5</w:t>
            </w:r>
          </w:p>
        </w:tc>
      </w:tr>
      <w:tr w:rsidR="000F2C8A" w:rsidRPr="000F2C8A" w:rsidTr="00F023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F90E9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="00F90E91"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="00F90E91"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сельского поселения </w:t>
            </w:r>
            <w:proofErr w:type="spellStart"/>
            <w:r w:rsidR="00F90E91"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="00F90E91"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области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10804020010000110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Комбинация метода прямого расчета и метода усреднения</w:t>
            </w:r>
          </w:p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Пгос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= П1гос + П2гос +…. +П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n</w:t>
            </w:r>
            <w:proofErr w:type="spellStart"/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гос</w:t>
            </w:r>
            <w:proofErr w:type="spellEnd"/>
          </w:p>
          <w:p w:rsidR="000F2C8A" w:rsidRPr="000F2C8A" w:rsidRDefault="000F2C8A" w:rsidP="000F2C8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0F2C8A" w:rsidRPr="000F2C8A" w:rsidRDefault="000F2C8A" w:rsidP="000F2C8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Пгос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- сумма госпошлины, прогнозируемая к поступлению в бюджет </w:t>
            </w:r>
            <w:r w:rsidR="00F90E91"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Железнодорожного сельского поселения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, в очередном году и (или) прогнозируемом периоде;</w:t>
            </w:r>
          </w:p>
          <w:p w:rsidR="000F2C8A" w:rsidRPr="000F2C8A" w:rsidRDefault="000F2C8A" w:rsidP="000F2C8A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П1гос, П2гос, П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n</w:t>
            </w:r>
            <w:proofErr w:type="spellStart"/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гос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– виды госпошлины, где</w:t>
            </w:r>
          </w:p>
          <w:p w:rsidR="000F2C8A" w:rsidRPr="000F2C8A" w:rsidRDefault="000F2C8A" w:rsidP="000F2C8A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П1гос=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Кгос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* </w:t>
            </w:r>
            <w:proofErr w:type="spellStart"/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Ст</w:t>
            </w:r>
            <w:proofErr w:type="spellEnd"/>
            <w:proofErr w:type="gramEnd"/>
          </w:p>
          <w:p w:rsidR="000F2C8A" w:rsidRPr="000F2C8A" w:rsidRDefault="000F2C8A" w:rsidP="000F2C8A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П2гос =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Кгос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* </w:t>
            </w:r>
            <w:proofErr w:type="spellStart"/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Ст</w:t>
            </w:r>
            <w:proofErr w:type="spellEnd"/>
            <w:proofErr w:type="gramEnd"/>
          </w:p>
          <w:p w:rsidR="000F2C8A" w:rsidRPr="000F2C8A" w:rsidRDefault="000F2C8A" w:rsidP="000F2C8A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n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гос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=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Кгос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* </w:t>
            </w:r>
            <w:proofErr w:type="spellStart"/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Ст</w:t>
            </w:r>
            <w:proofErr w:type="spellEnd"/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, где</w:t>
            </w:r>
          </w:p>
          <w:p w:rsidR="000F2C8A" w:rsidRPr="000F2C8A" w:rsidRDefault="000F2C8A" w:rsidP="000F2C8A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n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 количество прогнозируемых видов госпошлин</w:t>
            </w:r>
          </w:p>
          <w:p w:rsidR="000F2C8A" w:rsidRPr="000F2C8A" w:rsidRDefault="000F2C8A" w:rsidP="000F2C8A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Ст</w:t>
            </w:r>
            <w:proofErr w:type="spellEnd"/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- размер госпошлины по видам </w:t>
            </w:r>
          </w:p>
          <w:p w:rsidR="000F2C8A" w:rsidRPr="000F2C8A" w:rsidRDefault="000F2C8A" w:rsidP="000F2C8A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Кго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количество госпошлин (фактов уплаты госпошлины) по видам, </w:t>
            </w:r>
            <w:r w:rsidRPr="000F2C8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 w:bidi="ru-RU"/>
              </w:rPr>
              <w:t>определяется методом усреднения по следующей формуле</w:t>
            </w:r>
          </w:p>
          <w:p w:rsidR="000F2C8A" w:rsidRPr="000F2C8A" w:rsidRDefault="000F2C8A" w:rsidP="000F2C8A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Кгос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= (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Кго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(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т-1)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+ 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Кгос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(т-2)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+ 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Кгос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(т-3)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)/3</w:t>
            </w:r>
          </w:p>
          <w:p w:rsidR="000F2C8A" w:rsidRPr="000F2C8A" w:rsidRDefault="000F2C8A" w:rsidP="000F2C8A">
            <w:pPr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    т – текущий год</w:t>
            </w:r>
          </w:p>
        </w:tc>
      </w:tr>
      <w:tr w:rsidR="000F2C8A" w:rsidRPr="000F2C8A" w:rsidTr="00AD2F9D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F90E91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F90E91" w:rsidP="000F2C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Железнодорожного сельского поселения </w:t>
            </w:r>
            <w:proofErr w:type="spellStart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области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11105025100000120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 собственности сельских поселений (за исключением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метод прямого расчета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N = 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п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ar-SA"/>
              </w:rPr>
              <w:t>+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п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,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Алгоритм расчета прогнозных показателей основывается на данных о размере площади сдаваемых объектов, ставке арендной платы и динамике отдельных показателей прогноза социально-экономического развития, если иное не предусмотрено договором аренды.</w:t>
            </w:r>
          </w:p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Договоры, заключенные (планируемые к заключению) с арендаторами, являются источником данных о сдаваемой в аренду площади и ставке арендной платы.</w:t>
            </w:r>
          </w:p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Также в расчете используются показатели оценки результатов работы по взысканию дебиторской задолженности, определяемые методом усреднения.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N - прогноз поступления арендной платы за земельные участки в бюджет </w:t>
            </w:r>
            <w:r w:rsidR="00F90E91"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Железнодорожного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сельского поселения;</w:t>
            </w:r>
          </w:p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п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- сумма начисленных платежей по арендной плате за земельные участки в бюджет поселения в текущем финансовом году;</w:t>
            </w:r>
          </w:p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п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- сумма выпадающих (дополнительных) доходов от сдачи в аренду земельных участков, определяется по следующей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формуле:</w:t>
            </w:r>
          </w:p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п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= 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д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 xml:space="preserve">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ar-SA"/>
              </w:rPr>
              <w:t>+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B</w:t>
            </w:r>
            <w:proofErr w:type="spellStart"/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исп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 xml:space="preserve">, 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где</w:t>
            </w:r>
          </w:p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д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- сумма дополнительных (выпадающих) доходов, которая включает в себя:</w:t>
            </w:r>
          </w:p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 сумма прогнозируемых начислений арендной платы за земельные участки, рассчитываемая на основании поступивших заявлений юридических и физических лиц, договора аренды с которыми будут заключены (расторгнуты) в очередном финансовом году;</w:t>
            </w:r>
          </w:p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 сумма прогнозируемых начислений арендной платы за земельные участки, в случаях изменения видов разрешенного использования земельных участков на основании заявлений юридических и физических лиц, изменения в договорах с которыми будут осуществлены в очередном финансовом году;</w:t>
            </w:r>
          </w:p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исп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- сумма выпадающих доходов, составляющая разницу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листам, рассчитываемая методом усреднения 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за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последние 3 отчетных года  определяемая по формуле:</w:t>
            </w:r>
          </w:p>
          <w:p w:rsidR="000F2C8A" w:rsidRPr="000F2C8A" w:rsidRDefault="000F2C8A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B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исп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US" w:eastAsia="ar-SA"/>
              </w:rPr>
              <w:t xml:space="preserve">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 xml:space="preserve">= (S1+S2+S3)/3,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где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,</w:t>
            </w:r>
          </w:p>
          <w:p w:rsidR="000F2C8A" w:rsidRPr="000F2C8A" w:rsidRDefault="000F2C8A" w:rsidP="00AD2F9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S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1,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S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,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S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 xml:space="preserve">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–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разница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 за три отчетных года.</w:t>
            </w:r>
          </w:p>
        </w:tc>
      </w:tr>
      <w:tr w:rsidR="00F90E91" w:rsidRPr="000F2C8A" w:rsidTr="00F023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1" w:rsidRPr="000F2C8A" w:rsidRDefault="006F3652" w:rsidP="000F2C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1" w:rsidRPr="000F2C8A" w:rsidRDefault="00F90E91" w:rsidP="00F023B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1" w:rsidRPr="000F2C8A" w:rsidRDefault="00F90E91" w:rsidP="00F023BB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сельского поселения </w:t>
            </w:r>
            <w:proofErr w:type="spellStart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области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1" w:rsidRPr="000F2C8A" w:rsidRDefault="00F90E91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11301995100000130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1" w:rsidRPr="000F2C8A" w:rsidRDefault="00F90E91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1" w:rsidRPr="000F2C8A" w:rsidRDefault="00F90E91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метод прямого расчета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1" w:rsidRPr="000F2C8A" w:rsidRDefault="00F90E91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Опу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= Оу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+Оу2+Оу3+…+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Оуn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F90E91" w:rsidRPr="000F2C8A" w:rsidRDefault="00F90E91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  <w:p w:rsidR="00F90E91" w:rsidRPr="000F2C8A" w:rsidRDefault="00F90E91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1" w:rsidRPr="000F2C8A" w:rsidRDefault="00F90E91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расчет производится исходя из количества планируемых платных услуг и их стоимости, установленной органами государственной власти или органами местного самоуправления;</w:t>
            </w:r>
          </w:p>
          <w:p w:rsidR="00F90E91" w:rsidRPr="000F2C8A" w:rsidRDefault="00F90E91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определение количества планируемых платных услуг каждого вида основывается на статистических данных не менее чем за 3 года или за весь период оказания услуги в случае, если он не превышает 3 лет;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E91" w:rsidRPr="000F2C8A" w:rsidRDefault="00F90E91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Опу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- прогнозный показатель поступления прочих доходов от оказания платных услуг (работ) администрацией </w:t>
            </w:r>
            <w:r w:rsidR="000D4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Железнодорожного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сельского поселения;</w:t>
            </w:r>
          </w:p>
          <w:p w:rsidR="00F90E91" w:rsidRPr="000F2C8A" w:rsidRDefault="00F90E91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n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– количество видов платных услуг (работ)</w:t>
            </w:r>
          </w:p>
          <w:p w:rsidR="00F90E91" w:rsidRPr="000F2C8A" w:rsidRDefault="00F90E91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Оу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- вид платных услуг (работ), который рассчитывается по следующей формуле:</w:t>
            </w:r>
          </w:p>
          <w:p w:rsidR="00F90E91" w:rsidRPr="000F2C8A" w:rsidRDefault="00F90E91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Оу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=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Кп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* 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Цу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, где</w:t>
            </w:r>
          </w:p>
          <w:p w:rsidR="00F90E91" w:rsidRPr="000F2C8A" w:rsidRDefault="00F90E91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Кп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- среднегодовое количество оказанных платных услуг (выполненных работ), рассчитываемое за предшествующий трехлетний период по следующей формуле:</w:t>
            </w:r>
          </w:p>
          <w:p w:rsidR="00F90E91" w:rsidRPr="000F2C8A" w:rsidRDefault="00F90E91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К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п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= (Кп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1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+ Кп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2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 + Кп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3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) / 3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, где</w:t>
            </w:r>
          </w:p>
          <w:p w:rsidR="00F90E91" w:rsidRPr="000F2C8A" w:rsidRDefault="00F90E91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  <w:p w:rsidR="00F90E91" w:rsidRPr="000F2C8A" w:rsidRDefault="00F90E91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Кп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1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+ Кп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>2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 + Кп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 xml:space="preserve">3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количество фактически оказанных платных услуг (работ) за соответствующие три года, предшествующие текущему году;</w:t>
            </w:r>
          </w:p>
          <w:p w:rsidR="00F90E91" w:rsidRPr="000F2C8A" w:rsidRDefault="00F90E91" w:rsidP="000F2C8A">
            <w:pPr>
              <w:autoSpaceDE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Цу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- размер платы за единицу услуги (работы).</w:t>
            </w:r>
          </w:p>
        </w:tc>
      </w:tr>
      <w:tr w:rsidR="000D4B2D" w:rsidRPr="000F2C8A" w:rsidTr="00F023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6F3652" w:rsidP="000F2C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0D4B2D" w:rsidP="00F023B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0D4B2D" w:rsidP="00F023BB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сельского поселения </w:t>
            </w:r>
            <w:proofErr w:type="spellStart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области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0D4B2D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11302995100000130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0D4B2D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0D4B2D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метод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усреднения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0D4B2D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Дпр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= (∑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Дпр-Др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) /3,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0D4B2D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расчет производится без учета объема поступлений, имеющих разовый характер, для расчета прогнозируемого объема поступлений учитываются: </w:t>
            </w:r>
          </w:p>
          <w:p w:rsidR="000D4B2D" w:rsidRPr="000F2C8A" w:rsidRDefault="000D4B2D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- суммы поступлений прочих доходов от компенсации затрат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Железнодорожного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сельского поселения за последние три года.</w:t>
            </w:r>
          </w:p>
          <w:p w:rsidR="000D4B2D" w:rsidRPr="000F2C8A" w:rsidRDefault="000D4B2D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К поступлениям от компенсации затрат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сельского поселения, имеющим «разовый» характер, относятся:</w:t>
            </w:r>
          </w:p>
          <w:p w:rsidR="000D4B2D" w:rsidRPr="000F2C8A" w:rsidRDefault="000D4B2D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возврат сумм дебиторской задолженности прошлых лет, сложившихся на начало соответствующего финансового года;</w:t>
            </w:r>
          </w:p>
          <w:p w:rsidR="000D4B2D" w:rsidRPr="000F2C8A" w:rsidRDefault="000D4B2D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поступления от сумм восстановления кассовых расходов прошлых лет, имеющих «разовый» характер (сумм возмещения произведенных расходов по судебным решениям)</w:t>
            </w:r>
          </w:p>
          <w:p w:rsidR="000D4B2D" w:rsidRPr="000F2C8A" w:rsidRDefault="000D4B2D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B2D" w:rsidRPr="000F2C8A" w:rsidRDefault="000D4B2D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Дпр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- суммы поступлений прочих доходов от компенсации затрат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Железнодорожного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сельского поселения;</w:t>
            </w:r>
          </w:p>
          <w:p w:rsidR="000D4B2D" w:rsidRPr="000F2C8A" w:rsidRDefault="000D4B2D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∑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Дпр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– суммарный объем поступлений прочих доходов от компенсации затрат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Железнодорожного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сельского поселения за 3 года;</w:t>
            </w:r>
          </w:p>
          <w:p w:rsidR="000D4B2D" w:rsidRPr="000F2C8A" w:rsidRDefault="000D4B2D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Др</w:t>
            </w:r>
            <w:proofErr w:type="spellEnd"/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– объем поступлений, имеющих разовый характер</w:t>
            </w:r>
          </w:p>
          <w:p w:rsidR="000D4B2D" w:rsidRPr="000F2C8A" w:rsidRDefault="000D4B2D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0D4B2D" w:rsidRPr="000F2C8A" w:rsidTr="004D6368">
        <w:trPr>
          <w:trHeight w:val="40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6F3652" w:rsidP="000F2C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0D4B2D" w:rsidP="00F023B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0D4B2D" w:rsidP="00F023BB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сельского поселения </w:t>
            </w:r>
            <w:proofErr w:type="spellStart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области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0D4B2D" w:rsidP="000F2C8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11402053100000410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0D4B2D" w:rsidP="000F2C8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0D4B2D" w:rsidP="000F2C8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метод прямого расчета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0D4B2D" w:rsidP="000D4B2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РИ = </w:t>
            </w: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Ст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0D4B2D" w:rsidP="000F2C8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При невозможности определения рыночной стоимости - средняя стоимость  аналогичного имущества  реализованного в предшествующем периоде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B2D" w:rsidRPr="000F2C8A" w:rsidRDefault="000D4B2D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РИ – объем доходов от реализации имущества</w:t>
            </w:r>
          </w:p>
          <w:p w:rsidR="000D4B2D" w:rsidRPr="000F2C8A" w:rsidRDefault="000D4B2D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т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оценочная стоимость, либо рыночная стоимость  имущества. </w:t>
            </w:r>
          </w:p>
          <w:p w:rsidR="000D4B2D" w:rsidRPr="000F2C8A" w:rsidRDefault="000D4B2D" w:rsidP="000D4B2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0D4B2D" w:rsidRPr="000F2C8A" w:rsidTr="004D6368">
        <w:trPr>
          <w:trHeight w:val="23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B2D" w:rsidRPr="000F2C8A" w:rsidRDefault="006F3652" w:rsidP="00F023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B2D" w:rsidRPr="000F2C8A" w:rsidRDefault="000D4B2D" w:rsidP="00F023B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B2D" w:rsidRPr="000F2C8A" w:rsidRDefault="000D4B2D" w:rsidP="00F023BB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сельского поселения </w:t>
            </w:r>
            <w:proofErr w:type="spellStart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области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B2D" w:rsidRPr="000F2C8A" w:rsidRDefault="000D4B2D" w:rsidP="000D4B2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6025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1000004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B2D" w:rsidRPr="000F2C8A" w:rsidRDefault="000D4B2D" w:rsidP="000D4B2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продажи земельных участков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, 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находящегося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в собственности сельских поселений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земельных участков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муниципальных бюд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жетных и автономных учреждений)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B2D" w:rsidRPr="000F2C8A" w:rsidRDefault="000D4B2D" w:rsidP="00F023BB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метод усреднения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B2D" w:rsidRPr="000F2C8A" w:rsidRDefault="000D4B2D" w:rsidP="00F023B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РИ = </w:t>
            </w:r>
            <w:proofErr w:type="spellStart"/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Ст</w:t>
            </w:r>
            <w:proofErr w:type="spellEnd"/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B2D" w:rsidRPr="000F2C8A" w:rsidRDefault="000D4B2D" w:rsidP="00F023B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4B2D" w:rsidRPr="000D4B2D" w:rsidRDefault="000D4B2D" w:rsidP="000D4B2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D4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РИ – объем доходов от реализации имущества</w:t>
            </w:r>
          </w:p>
          <w:p w:rsidR="000D4B2D" w:rsidRPr="000F2C8A" w:rsidRDefault="000D4B2D" w:rsidP="000D4B2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D4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</w:t>
            </w:r>
            <w:proofErr w:type="gramStart"/>
            <w:r w:rsidRPr="000D4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т</w:t>
            </w:r>
            <w:proofErr w:type="spellEnd"/>
            <w:r w:rsidRPr="000D4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  <w:proofErr w:type="gramEnd"/>
            <w:r w:rsidRPr="000D4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оценочная стоимость, либо рыночная стоимость  имущества.</w:t>
            </w:r>
          </w:p>
        </w:tc>
      </w:tr>
      <w:tr w:rsidR="000D4B2D" w:rsidRPr="000F2C8A" w:rsidTr="004D6368">
        <w:trPr>
          <w:trHeight w:val="608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4B2D" w:rsidRPr="000F2C8A" w:rsidRDefault="006F3652" w:rsidP="000F2C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4B2D" w:rsidRPr="000F2C8A" w:rsidRDefault="000D4B2D" w:rsidP="00F023B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4B2D" w:rsidRPr="000F2C8A" w:rsidRDefault="000D4B2D" w:rsidP="00F023BB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сельского поселения </w:t>
            </w:r>
            <w:proofErr w:type="spellStart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области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4B2D" w:rsidRPr="000F2C8A" w:rsidRDefault="000D4B2D" w:rsidP="00D7749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116</w:t>
            </w:r>
            <w:r w:rsidR="00D774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01074010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000140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4B2D" w:rsidRPr="000F2C8A" w:rsidRDefault="00D7749B" w:rsidP="00D7749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ыявленные должностными лицами органов муниципального контроля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4B2D" w:rsidRPr="000F2C8A" w:rsidRDefault="000D4B2D" w:rsidP="000F2C8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Метод прямого расчета или метод усреднения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4B2D" w:rsidRPr="000F2C8A" w:rsidRDefault="000D4B2D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Пш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= ∑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S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 xml:space="preserve"> 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/3</w:t>
            </w:r>
          </w:p>
          <w:p w:rsidR="000D4B2D" w:rsidRPr="000F2C8A" w:rsidRDefault="000D4B2D" w:rsidP="000F2C8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B2D" w:rsidRPr="000F2C8A" w:rsidRDefault="000D4B2D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 случае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,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если фиксированные размеры штрафов и иных сумм принудительного изъятия (платежей) в денежном выражении или их диапазоны установлены законодательно и есть возможность получения соответствующих статистических данных о количестве наложенных штрафов и иных сумм принудительного изъятия (платежей), применяется метод прямого расчета (по видам правонарушений и с учетом размеров платежей).</w:t>
            </w:r>
          </w:p>
          <w:p w:rsidR="000D4B2D" w:rsidRPr="000F2C8A" w:rsidRDefault="000D4B2D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 иных случаях определение прогнозного количества наложенных штрафов и иных сумм принудительного изъятия (платежей) по каждому виду правонарушений, закрепленному в законодательстве Российской Федерации, основывается на статистических данных не менее чем за 3 года или за весь период закрепления в законодательстве Российской Федерации в случае, если этот период не превышает 3 лет;</w:t>
            </w:r>
            <w:proofErr w:type="gramEnd"/>
          </w:p>
          <w:p w:rsidR="000D4B2D" w:rsidRPr="000F2C8A" w:rsidRDefault="000D4B2D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Расчет размеров штрафов и иных сумм принудительного изъятия (платежей) по каждому виду правонарушений должен производиться с учетом изменений законодательства, запланированных на очередной финансовый год и плановый период.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B2D" w:rsidRPr="000F2C8A" w:rsidRDefault="000D4B2D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Пш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– прогнозируемые денежные взыскания (штрафы) зачисляемые в бюджет муниципальных образований.</w:t>
            </w:r>
          </w:p>
          <w:p w:rsidR="000D4B2D" w:rsidRPr="000F2C8A" w:rsidRDefault="000D4B2D" w:rsidP="000F2C8A">
            <w:pPr>
              <w:autoSpaceDE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S - поступления от денежных взысканий (штрафов) (в расчет принимаются показатели за последние три отчетных года).</w:t>
            </w:r>
          </w:p>
        </w:tc>
      </w:tr>
      <w:tr w:rsidR="00D7749B" w:rsidRPr="000F2C8A" w:rsidTr="00F023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6F3652" w:rsidP="000F2C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D7749B" w:rsidP="00F023B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D7749B" w:rsidP="00F023BB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сельского поселения </w:t>
            </w:r>
            <w:proofErr w:type="spellStart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области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116070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1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10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0000140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Метод прямого расчета или метод усреднения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Пш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= ∑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S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 xml:space="preserve"> 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/3</w:t>
            </w:r>
          </w:p>
          <w:p w:rsidR="00D7749B" w:rsidRPr="000F2C8A" w:rsidRDefault="00D7749B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Пш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– прогнозируемые денежные взыскания (штрафы) зачисляемые в бюджет муниципальных образований.</w:t>
            </w:r>
          </w:p>
          <w:p w:rsidR="00D7749B" w:rsidRPr="000F2C8A" w:rsidRDefault="00D7749B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S - поступления от денежных взысканий (штрафов) (в расчет принимаются показатели за последние три отчетных года).</w:t>
            </w:r>
          </w:p>
        </w:tc>
      </w:tr>
      <w:tr w:rsidR="00D7749B" w:rsidRPr="000F2C8A" w:rsidTr="00F023BB">
        <w:trPr>
          <w:trHeight w:val="36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749B" w:rsidRPr="000F2C8A" w:rsidRDefault="006F3652" w:rsidP="00D77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749B" w:rsidRPr="000F2C8A" w:rsidRDefault="00D7749B" w:rsidP="00F023B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749B" w:rsidRPr="000F2C8A" w:rsidRDefault="00D7749B" w:rsidP="00F023BB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сельского поселения </w:t>
            </w:r>
            <w:proofErr w:type="spellStart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области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116101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23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010000140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Метод прямого расчета или метод усреднения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Пш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= ∑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S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ar-SA"/>
              </w:rPr>
              <w:t xml:space="preserve"> 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/3</w:t>
            </w:r>
          </w:p>
          <w:p w:rsidR="00D7749B" w:rsidRPr="000F2C8A" w:rsidRDefault="00D7749B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Пш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– прогнозируемые денежные взыскания (штрафы) зачисляемые в бюджет муниципальных образований.</w:t>
            </w:r>
          </w:p>
          <w:p w:rsidR="00D7749B" w:rsidRPr="000F2C8A" w:rsidRDefault="00D7749B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S - поступления от денежных взысканий (штрафов) (в расчет принимаются показатели за последние три отчетных года).</w:t>
            </w:r>
          </w:p>
        </w:tc>
      </w:tr>
      <w:tr w:rsidR="00D7749B" w:rsidRPr="000F2C8A" w:rsidTr="004D6368">
        <w:trPr>
          <w:trHeight w:val="39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6F3652" w:rsidP="000F2C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D7749B" w:rsidP="00F023B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D7749B" w:rsidP="00F023BB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сельского поселения </w:t>
            </w:r>
            <w:proofErr w:type="spellStart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области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11705050100000180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Прочие неналоговые доходы бюджетов сельских поселений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Прогнозирование вышеуказанных доходов не осуществляется в связи с невозможностью достоверно определить объемы поступлений на очередной финансовый год и плановый период. </w:t>
            </w:r>
          </w:p>
          <w:p w:rsidR="00D7749B" w:rsidRPr="000F2C8A" w:rsidRDefault="00D7749B" w:rsidP="000F2C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Прогнозируемый объем указанных доходов подлежит включению в доходную часть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Железнодорожного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сельского поселения в течение финансового года с учетом информации о фактическом поступлении.</w:t>
            </w:r>
          </w:p>
          <w:p w:rsidR="00D7749B" w:rsidRPr="000F2C8A" w:rsidRDefault="00D7749B" w:rsidP="000F2C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В течение текущего года, в случае изменения тенденции поступлений по кодам доходов, указанных выше, в сторону увеличения (уменьшения) производится корректировка прогнозных объемов поступлений соответственно в сторону увеличения (уменьшения) до ожидаемого объема поступлений в текущем году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D7749B" w:rsidRPr="000F2C8A" w:rsidTr="004D6368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749B" w:rsidRPr="000F2C8A" w:rsidRDefault="00D7749B" w:rsidP="006F36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  <w:r w:rsidR="006F36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749B" w:rsidRPr="000F2C8A" w:rsidRDefault="00D7749B" w:rsidP="00F023B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749B" w:rsidRPr="000F2C8A" w:rsidRDefault="00D7749B" w:rsidP="00F023BB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сельского поселения </w:t>
            </w:r>
            <w:proofErr w:type="spellStart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области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749B" w:rsidRPr="000F2C8A" w:rsidRDefault="00D7749B" w:rsidP="00D7749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150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01100000150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749B" w:rsidRPr="000F2C8A" w:rsidRDefault="00D7749B" w:rsidP="000F2C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Ожидаемый объем безвозмездных поступлений определяется на основании 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объема расходов соответствующего бюджета бюджетной системы Российской Федерации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в случае, если такой объем расходов определен</w:t>
            </w:r>
          </w:p>
          <w:p w:rsidR="00D7749B" w:rsidRPr="000F2C8A" w:rsidRDefault="00D7749B" w:rsidP="000F2C8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D7749B" w:rsidRPr="000F2C8A" w:rsidTr="004D6368">
        <w:trPr>
          <w:trHeight w:val="35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749B" w:rsidRPr="000F2C8A" w:rsidRDefault="00D7749B" w:rsidP="006F36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1</w:t>
            </w:r>
            <w:r w:rsidR="006F3652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749B" w:rsidRPr="000F2C8A" w:rsidRDefault="00D7749B" w:rsidP="00F023B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749B" w:rsidRPr="000F2C8A" w:rsidRDefault="00D7749B" w:rsidP="00F023BB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сельского поселения </w:t>
            </w:r>
            <w:proofErr w:type="spellStart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области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20230024100000 150</w:t>
            </w:r>
          </w:p>
          <w:p w:rsidR="00D7749B" w:rsidRPr="000F2C8A" w:rsidRDefault="00D7749B" w:rsidP="000F2C8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ar-SA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749B" w:rsidRPr="000F2C8A" w:rsidRDefault="00D7749B" w:rsidP="00D7749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Включаются в доходную часть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Железнодорожного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сельского поселения в объеме, утверждаемом законом (решением) о бюджете и (или) проектом закона (решения) о бюджете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Иркутской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области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муниципального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Иркутской области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области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на очередной финансовый год и плановый период, нормативными правовыми актами органов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Иркутской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области, муниципальными правовыми актами органов местного самоуправления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Иркутской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области, заключенными соглашениями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749B" w:rsidRPr="000F2C8A" w:rsidRDefault="00D7749B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D504B0" w:rsidRPr="000F2C8A" w:rsidTr="004D6368">
        <w:trPr>
          <w:trHeight w:val="24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6F3652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  <w:r w:rsidR="006F3652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F023B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F023BB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сельского поселения </w:t>
            </w:r>
            <w:proofErr w:type="spellStart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области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20235118100000 150</w:t>
            </w:r>
          </w:p>
          <w:p w:rsidR="00D504B0" w:rsidRPr="000F2C8A" w:rsidRDefault="00D504B0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0F2C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Субвенции бюджетам сельских поселений на осуществление первичного воинского учета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не территориях где отсутствуют военные комиссариаты</w:t>
            </w:r>
          </w:p>
          <w:p w:rsidR="00D504B0" w:rsidRPr="000F2C8A" w:rsidRDefault="00D504B0" w:rsidP="000F2C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D504B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Включаются в доходную часть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Железнодорожного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сельского поселения в объеме, утверждаемом законом (решением) о бюджете и (или) проектом закона (решения) о бюджете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Иркутской области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области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на очередной финансовый год и плановый период, нормативными правовыми актами органов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Иркутской  области.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D504B0" w:rsidRPr="000F2C8A" w:rsidTr="004D6368">
        <w:trPr>
          <w:trHeight w:val="329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6F3652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  <w:r w:rsidR="006F3652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F023B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F023BB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сельского поселения </w:t>
            </w:r>
            <w:proofErr w:type="spellStart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области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20249999100000150</w:t>
            </w:r>
          </w:p>
          <w:p w:rsidR="00D504B0" w:rsidRPr="000F2C8A" w:rsidRDefault="00D504B0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Прочие межбюджетные трансферты, передаваемые бюджетам сельских поселений</w:t>
            </w:r>
          </w:p>
          <w:p w:rsidR="00D504B0" w:rsidRPr="000F2C8A" w:rsidRDefault="00D504B0" w:rsidP="000F2C8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D504B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Включаются в доходную часть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Железнодорожного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сельского поселения в объеме, утверждаемом законом (решением) о бюджете и (или) проектом закона (решения) о бюджете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Иркутской области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области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Иркутской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области на очередной финансовый год и плановый период, нормативными правовыми актами органов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Иркутской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области, муниципальными правовыми актами органов местного самоуправления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Иркутской 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области, заключенными соглашениями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D504B0" w:rsidRPr="000F2C8A" w:rsidTr="00D504B0">
        <w:trPr>
          <w:trHeight w:val="15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4B0" w:rsidRPr="000F2C8A" w:rsidRDefault="00D504B0" w:rsidP="006F36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1</w:t>
            </w:r>
            <w:r w:rsidR="006F3652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4B0" w:rsidRPr="000F2C8A" w:rsidRDefault="00D504B0" w:rsidP="00F023B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4B0" w:rsidRPr="000F2C8A" w:rsidRDefault="00D504B0" w:rsidP="00F023BB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сельского поселения </w:t>
            </w:r>
            <w:proofErr w:type="spellStart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области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4B0" w:rsidRPr="000F2C8A" w:rsidRDefault="00D504B0" w:rsidP="000F2C8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20705030100000150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4B0" w:rsidRPr="000F2C8A" w:rsidRDefault="00D504B0" w:rsidP="000F2C8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Расчет производится на основании заключенных договоров (соглашений) на предоставление добровольных пожертвований и на основании данных о фактических поступлениях в текущем финансовом году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D504B0" w:rsidRPr="000F2C8A" w:rsidTr="00D504B0">
        <w:trPr>
          <w:trHeight w:val="29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6F36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  <w:r w:rsidR="006F3652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F023B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F023BB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Железнодорожного сельского поселения </w:t>
            </w:r>
            <w:proofErr w:type="spellStart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Усольского</w:t>
            </w:r>
            <w:proofErr w:type="spellEnd"/>
            <w:r w:rsidRPr="00AD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муниципального района Иркутской области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2 19 60010 10 0000 150</w:t>
            </w:r>
          </w:p>
          <w:p w:rsidR="00D504B0" w:rsidRPr="000F2C8A" w:rsidRDefault="00D504B0" w:rsidP="000F2C8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0F2C8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Возврат остатков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D504B0" w:rsidRPr="000F2C8A" w:rsidRDefault="00D504B0" w:rsidP="000F2C8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Прогнозирование не осуществляется в связи с невозможностью достоверно определить объемы неиспользованных по состоянию на 1 января очередного финансового года остатков целевых средств.</w:t>
            </w:r>
          </w:p>
          <w:p w:rsidR="00D504B0" w:rsidRPr="000F2C8A" w:rsidRDefault="00D504B0" w:rsidP="000F2C8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Прогнозируемый объем указанных доходов подлежит включению </w:t>
            </w:r>
            <w:proofErr w:type="gramStart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в доходную часть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Железнодорожного</w:t>
            </w:r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сельского поселения в течение финансового года с учетом информации о фактическом их поступлении на дату</w:t>
            </w:r>
            <w:proofErr w:type="gramEnd"/>
            <w:r w:rsidRPr="000F2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прогнозирования</w:t>
            </w:r>
          </w:p>
          <w:p w:rsidR="00D504B0" w:rsidRPr="000F2C8A" w:rsidRDefault="00D504B0" w:rsidP="000F2C8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04B0" w:rsidRPr="000F2C8A" w:rsidRDefault="00D504B0" w:rsidP="000F2C8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D50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Прогнозируемый объем поступлений имеет отрицательное значение</w:t>
            </w:r>
          </w:p>
        </w:tc>
      </w:tr>
    </w:tbl>
    <w:p w:rsidR="000F2C8A" w:rsidRPr="000F2C8A" w:rsidRDefault="000F2C8A" w:rsidP="000F2C8A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:rsidR="000F2C8A" w:rsidRPr="000F2C8A" w:rsidRDefault="000F2C8A" w:rsidP="000F2C8A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:rsidR="000F2C8A" w:rsidRPr="000F2C8A" w:rsidRDefault="000F2C8A" w:rsidP="000F2C8A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:rsidR="001D255A" w:rsidRPr="00D504B0" w:rsidRDefault="001D255A" w:rsidP="001D255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sectPr w:rsidR="001D255A" w:rsidRPr="00D504B0" w:rsidSect="000D4B2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E32" w:rsidRDefault="00A46E32" w:rsidP="000F2C8A">
      <w:pPr>
        <w:spacing w:after="0" w:line="240" w:lineRule="auto"/>
      </w:pPr>
      <w:r>
        <w:separator/>
      </w:r>
    </w:p>
  </w:endnote>
  <w:endnote w:type="continuationSeparator" w:id="0">
    <w:p w:rsidR="00A46E32" w:rsidRDefault="00A46E32" w:rsidP="000F2C8A">
      <w:pPr>
        <w:spacing w:after="0" w:line="240" w:lineRule="auto"/>
      </w:pPr>
      <w:r>
        <w:continuationSeparator/>
      </w:r>
    </w:p>
  </w:endnote>
  <w:endnote w:id="1">
    <w:p w:rsidR="000F2C8A" w:rsidRPr="00D504B0" w:rsidRDefault="000F2C8A" w:rsidP="000F2C8A">
      <w:pPr>
        <w:pStyle w:val="a5"/>
        <w:rPr>
          <w:rFonts w:ascii="Times New Roman" w:hAnsi="Times New Roman" w:cs="Times New Roman"/>
          <w:sz w:val="16"/>
          <w:szCs w:val="16"/>
        </w:rPr>
      </w:pPr>
      <w:r w:rsidRPr="005C0083">
        <w:rPr>
          <w:rStyle w:val="a7"/>
          <w:sz w:val="16"/>
          <w:szCs w:val="16"/>
        </w:rPr>
        <w:t>1</w:t>
      </w:r>
      <w:r w:rsidRPr="005C0083">
        <w:rPr>
          <w:sz w:val="16"/>
          <w:szCs w:val="16"/>
        </w:rPr>
        <w:tab/>
        <w:t> </w:t>
      </w:r>
      <w:r w:rsidRPr="00D504B0">
        <w:rPr>
          <w:rFonts w:ascii="Times New Roman" w:hAnsi="Times New Roman" w:cs="Times New Roman"/>
          <w:sz w:val="16"/>
          <w:szCs w:val="16"/>
        </w:rPr>
        <w:t>Код бюджетной классификации доходов без пробелов и кода главы главного администратора доходов бюджета.</w:t>
      </w:r>
    </w:p>
  </w:endnote>
  <w:endnote w:id="2">
    <w:p w:rsidR="000F2C8A" w:rsidRPr="00D504B0" w:rsidRDefault="000F2C8A" w:rsidP="000F2C8A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504B0">
        <w:rPr>
          <w:rStyle w:val="a7"/>
          <w:rFonts w:ascii="Times New Roman" w:hAnsi="Times New Roman"/>
          <w:sz w:val="16"/>
          <w:szCs w:val="16"/>
        </w:rPr>
        <w:t>2</w:t>
      </w:r>
      <w:r w:rsidRPr="00D504B0">
        <w:rPr>
          <w:rFonts w:ascii="Times New Roman" w:hAnsi="Times New Roman" w:cs="Times New Roman"/>
          <w:sz w:val="16"/>
          <w:szCs w:val="16"/>
        </w:rPr>
        <w:tab/>
        <w:t> Характеристика метода расчета прогнозного объема поступлений (определяемая в соответствии с подпунктом «в» пункта 3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г. № 574 «Об общих требованиях к методике прогнозирования поступлений доходов в бюджеты бюджетной системы Российской Федерации»).</w:t>
      </w:r>
      <w:proofErr w:type="gramEnd"/>
    </w:p>
  </w:endnote>
  <w:endnote w:id="3">
    <w:p w:rsidR="000F2C8A" w:rsidRPr="00D504B0" w:rsidRDefault="000F2C8A" w:rsidP="000F2C8A">
      <w:pPr>
        <w:pStyle w:val="a5"/>
        <w:rPr>
          <w:rFonts w:ascii="Times New Roman" w:hAnsi="Times New Roman" w:cs="Times New Roman"/>
          <w:sz w:val="16"/>
          <w:szCs w:val="16"/>
        </w:rPr>
      </w:pPr>
      <w:r w:rsidRPr="00D504B0">
        <w:rPr>
          <w:rStyle w:val="a7"/>
          <w:rFonts w:ascii="Times New Roman" w:hAnsi="Times New Roman"/>
          <w:sz w:val="16"/>
          <w:szCs w:val="16"/>
        </w:rPr>
        <w:t>3</w:t>
      </w:r>
      <w:r w:rsidRPr="00D504B0">
        <w:rPr>
          <w:rFonts w:ascii="Times New Roman" w:hAnsi="Times New Roman" w:cs="Times New Roman"/>
          <w:sz w:val="16"/>
          <w:szCs w:val="16"/>
        </w:rPr>
        <w:tab/>
        <w:t> Формула расчета прогнозируемого объема поступлений (при наличии).</w:t>
      </w:r>
    </w:p>
  </w:endnote>
  <w:endnote w:id="4">
    <w:p w:rsidR="000F2C8A" w:rsidRPr="00D504B0" w:rsidRDefault="000F2C8A" w:rsidP="000F2C8A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D504B0">
        <w:rPr>
          <w:rStyle w:val="a7"/>
          <w:rFonts w:ascii="Times New Roman" w:hAnsi="Times New Roman"/>
          <w:sz w:val="16"/>
          <w:szCs w:val="16"/>
        </w:rPr>
        <w:t>4</w:t>
      </w:r>
      <w:r w:rsidRPr="00D504B0">
        <w:rPr>
          <w:rFonts w:ascii="Times New Roman" w:hAnsi="Times New Roman" w:cs="Times New Roman"/>
          <w:sz w:val="16"/>
          <w:szCs w:val="16"/>
        </w:rPr>
        <w:tab/>
        <w:t> Описание фактического алгоритма расчета прогнозируемого объема поступлений (обязательно – в случае отсутствия формулы расчета, по решению главного администратора доходов – в случае наличия формулы расчета).</w:t>
      </w:r>
    </w:p>
  </w:endnote>
  <w:endnote w:id="5">
    <w:p w:rsidR="000F2C8A" w:rsidRPr="00D504B0" w:rsidRDefault="000F2C8A" w:rsidP="000F2C8A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D504B0">
        <w:rPr>
          <w:rStyle w:val="a7"/>
          <w:rFonts w:ascii="Times New Roman" w:hAnsi="Times New Roman"/>
          <w:sz w:val="16"/>
          <w:szCs w:val="16"/>
        </w:rPr>
        <w:t>5</w:t>
      </w:r>
      <w:r w:rsidRPr="00D504B0">
        <w:rPr>
          <w:rFonts w:ascii="Times New Roman" w:hAnsi="Times New Roman" w:cs="Times New Roman"/>
          <w:sz w:val="16"/>
          <w:szCs w:val="16"/>
        </w:rPr>
        <w:tab/>
        <w:t> 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 соответствующих показателей.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C8A" w:rsidRDefault="000F2C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C8A" w:rsidRDefault="000F2C8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C8A" w:rsidRDefault="000F2C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E32" w:rsidRDefault="00A46E32" w:rsidP="000F2C8A">
      <w:pPr>
        <w:spacing w:after="0" w:line="240" w:lineRule="auto"/>
      </w:pPr>
      <w:r>
        <w:separator/>
      </w:r>
    </w:p>
  </w:footnote>
  <w:footnote w:type="continuationSeparator" w:id="0">
    <w:p w:rsidR="00A46E32" w:rsidRDefault="00A46E32" w:rsidP="000F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C8A" w:rsidRDefault="000F2C8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C8A" w:rsidRDefault="000F2C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3D"/>
    <w:rsid w:val="000D4B2D"/>
    <w:rsid w:val="000F2C8A"/>
    <w:rsid w:val="001D255A"/>
    <w:rsid w:val="0040543D"/>
    <w:rsid w:val="00410254"/>
    <w:rsid w:val="004D6368"/>
    <w:rsid w:val="006F3652"/>
    <w:rsid w:val="00A46E32"/>
    <w:rsid w:val="00AD2F9D"/>
    <w:rsid w:val="00B05174"/>
    <w:rsid w:val="00BC1F95"/>
    <w:rsid w:val="00D504B0"/>
    <w:rsid w:val="00D7749B"/>
    <w:rsid w:val="00F9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43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0F2C8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F2C8A"/>
    <w:rPr>
      <w:sz w:val="20"/>
      <w:szCs w:val="20"/>
    </w:rPr>
  </w:style>
  <w:style w:type="character" w:customStyle="1" w:styleId="a7">
    <w:name w:val="Символы концевой сноски"/>
    <w:rsid w:val="000F2C8A"/>
    <w:rPr>
      <w:rFonts w:cs="Times New Roman"/>
      <w:vertAlign w:val="superscript"/>
    </w:rPr>
  </w:style>
  <w:style w:type="paragraph" w:styleId="a8">
    <w:name w:val="header"/>
    <w:basedOn w:val="a"/>
    <w:link w:val="a9"/>
    <w:rsid w:val="000F2C8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rsid w:val="000F2C8A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rsid w:val="000F2C8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rsid w:val="000F2C8A"/>
    <w:rPr>
      <w:rFonts w:ascii="Times New Roman" w:eastAsia="SimSu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43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0F2C8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F2C8A"/>
    <w:rPr>
      <w:sz w:val="20"/>
      <w:szCs w:val="20"/>
    </w:rPr>
  </w:style>
  <w:style w:type="character" w:customStyle="1" w:styleId="a7">
    <w:name w:val="Символы концевой сноски"/>
    <w:rsid w:val="000F2C8A"/>
    <w:rPr>
      <w:rFonts w:cs="Times New Roman"/>
      <w:vertAlign w:val="superscript"/>
    </w:rPr>
  </w:style>
  <w:style w:type="paragraph" w:styleId="a8">
    <w:name w:val="header"/>
    <w:basedOn w:val="a"/>
    <w:link w:val="a9"/>
    <w:rsid w:val="000F2C8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rsid w:val="000F2C8A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rsid w:val="000F2C8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rsid w:val="000F2C8A"/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3449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polzovatel7777</dc:creator>
  <cp:lastModifiedBy>polzovatel7777</cp:lastModifiedBy>
  <cp:revision>4</cp:revision>
  <dcterms:created xsi:type="dcterms:W3CDTF">2025-12-03T01:23:00Z</dcterms:created>
  <dcterms:modified xsi:type="dcterms:W3CDTF">2025-12-03T04:43:00Z</dcterms:modified>
</cp:coreProperties>
</file>