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media/image6.png" ContentType="image/png"/>
  <Override PartName="/word/media/image5.png" ContentType="image/png"/>
  <Override PartName="/word/media/image4.jpeg" ContentType="image/jpeg"/>
  <Override PartName="/word/media/image7.png" ContentType="image/png"/>
  <Override PartName="/word/media/image3.jpeg" ContentType="image/jpeg"/>
  <Override PartName="/word/media/image1.png" ContentType="image/png"/>
  <Override PartName="/word/media/image2.png" ContentType="image/png"/>
  <Override PartName="/word/media/image12.png" ContentType="image/png"/>
  <Override PartName="/word/media/image13.jpeg" ContentType="image/jpeg"/>
  <Override PartName="/word/media/image11.png" ContentType="image/png"/>
  <Override PartName="/word/media/image10.png" ContentType="image/png"/>
  <Override PartName="/word/media/image9.png" ContentType="image/png"/>
  <Override PartName="/word/media/image8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exact" w:line="292"/>
        <w:rPr>
          <w:sz w:val="4"/>
          <w:szCs w:val="4"/>
        </w:rPr>
      </w:pPr>
      <w:r>
        <w:rPr>
          <w:sz w:val="4"/>
          <w:szCs w:val="4"/>
        </w:rPr>
        <w:drawing>
          <wp:anchor behindDoc="1" distT="0" distB="0" distL="0" distR="0" simplePos="0" locked="0" layoutInCell="0" allowOverlap="1" relativeHeight="5">
            <wp:simplePos x="0" y="0"/>
            <wp:positionH relativeFrom="page">
              <wp:posOffset>384175</wp:posOffset>
            </wp:positionH>
            <wp:positionV relativeFrom="page">
              <wp:posOffset>319405</wp:posOffset>
            </wp:positionV>
            <wp:extent cx="647700" cy="494665"/>
            <wp:effectExtent l="0" t="0" r="0" b="0"/>
            <wp:wrapNone/>
            <wp:docPr id="1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page1"/>
      <w:bookmarkStart w:id="1" w:name="page1"/>
      <w:bookmarkEnd w:id="1"/>
    </w:p>
    <w:p>
      <w:pPr>
        <w:pStyle w:val="Normal"/>
        <w:ind w:left="1310" w:hanging="0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001077"/>
          <w:sz w:val="21"/>
          <w:szCs w:val="21"/>
        </w:rPr>
        <w:t>Оценка эффективности</w:t>
      </w:r>
    </w:p>
    <w:p>
      <w:pPr>
        <w:pStyle w:val="Normal"/>
        <w:spacing w:lineRule="exact" w:line="12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214" w:leader="none"/>
        </w:tabs>
        <w:spacing w:lineRule="auto" w:line="276"/>
        <w:ind w:left="10" w:right="880" w:hanging="10"/>
        <w:jc w:val="both"/>
        <w:rPr>
          <w:rFonts w:ascii="Arial" w:hAnsi="Arial" w:eastAsia="Arial" w:cs="Arial"/>
          <w:sz w:val="19"/>
          <w:szCs w:val="19"/>
        </w:rPr>
      </w:pPr>
      <w:r>
        <w:drawing>
          <wp:anchor behindDoc="1" distT="0" distB="0" distL="0" distR="0" simplePos="0" locked="0" layoutInCell="0" allowOverlap="1" relativeHeight="7">
            <wp:simplePos x="0" y="0"/>
            <wp:positionH relativeFrom="column">
              <wp:posOffset>3757295</wp:posOffset>
            </wp:positionH>
            <wp:positionV relativeFrom="paragraph">
              <wp:posOffset>560705</wp:posOffset>
            </wp:positionV>
            <wp:extent cx="2620010" cy="2036445"/>
            <wp:effectExtent l="0" t="0" r="0" b="0"/>
            <wp:wrapNone/>
            <wp:docPr id="2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 w:cs="Arial" w:ascii="Arial" w:hAnsi="Arial"/>
          <w:sz w:val="19"/>
          <w:szCs w:val="19"/>
        </w:rPr>
        <w:t xml:space="preserve"> </w:t>
      </w:r>
      <w:r>
        <w:rPr>
          <w:rFonts w:eastAsia="Arial" w:cs="Arial" w:ascii="Arial" w:hAnsi="Arial"/>
          <w:sz w:val="19"/>
          <w:szCs w:val="19"/>
        </w:rPr>
        <w:t>течение последнего месяца действия социального контракта орган социальной защиты населения подготавливает заключение об оценке выполнения мероприятий программы социальной адаптации или о целесообразности продления срока действия социального контракта не более чем на половину срока ранее заключенного социального контракта.</w:t>
      </w:r>
    </w:p>
    <w:p>
      <w:pPr>
        <w:pStyle w:val="Normal"/>
        <w:spacing w:lineRule="exact" w:line="5"/>
        <w:rPr>
          <w:rFonts w:ascii="Arial" w:hAnsi="Arial" w:eastAsia="Arial" w:cs="Arial"/>
          <w:sz w:val="19"/>
          <w:szCs w:val="19"/>
        </w:rPr>
      </w:pPr>
      <w:r>
        <w:rPr>
          <w:rFonts w:eastAsia="Arial" w:cs="Arial" w:ascii="Arial" w:hAnsi="Arial"/>
          <w:sz w:val="19"/>
          <w:szCs w:val="19"/>
        </w:rPr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179" w:leader="none"/>
        </w:tabs>
        <w:spacing w:lineRule="auto" w:line="290"/>
        <w:ind w:left="10" w:right="880" w:hanging="10"/>
        <w:jc w:val="both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  <w:t xml:space="preserve"> </w:t>
      </w:r>
      <w:r>
        <w:rPr>
          <w:rFonts w:eastAsia="Arial" w:cs="Arial" w:ascii="Arial" w:hAnsi="Arial"/>
          <w:sz w:val="18"/>
          <w:szCs w:val="18"/>
        </w:rPr>
        <w:t>течение пятого месяца после  окончания срока действия социального контракта орган социальной защиты населения подготавливает отчет об оценке эффективности реализации социального контракта, включающий в себя:</w:t>
      </w:r>
    </w:p>
    <w:p>
      <w:pPr>
        <w:pStyle w:val="Normal"/>
        <w:spacing w:lineRule="auto" w:line="290"/>
        <w:ind w:left="370" w:right="880" w:hanging="360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color w:val="000000"/>
          <w:sz w:val="18"/>
          <w:szCs w:val="18"/>
        </w:rPr>
        <w:t>а) сведения о доходах гражданина (семьи гражданина) за три месяца, следующие за месяцем окончания срока действия социального контракта, которые предоставляет гражданин, и их сравнение со сведениями о доходах, представленных гражданином при подаче заявления на оказание государственной социальной помощи на основа-нии социального контракта;</w:t>
      </w:r>
    </w:p>
    <w:p>
      <w:pPr>
        <w:pStyle w:val="Normal"/>
        <w:spacing w:lineRule="exact" w:line="1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</w:r>
    </w:p>
    <w:p>
      <w:pPr>
        <w:pStyle w:val="Normal"/>
        <w:spacing w:lineRule="auto" w:line="247"/>
        <w:ind w:left="370" w:right="880" w:hanging="360"/>
        <w:rPr>
          <w:rFonts w:ascii="Arial" w:hAnsi="Arial"/>
          <w:sz w:val="18"/>
          <w:szCs w:val="18"/>
        </w:rPr>
      </w:pPr>
      <w:r>
        <w:rPr>
          <w:rFonts w:eastAsia="Arial" w:cs="Arial" w:ascii="Arial" w:hAnsi="Arial"/>
          <w:color w:val="000000"/>
          <w:sz w:val="18"/>
          <w:szCs w:val="18"/>
        </w:rPr>
        <w:t>б) оценку условий жизни гражданина (семьи</w:t>
      </w:r>
      <w:r>
        <w:rPr>
          <w:rFonts w:eastAsia="Wingdings" w:cs="Wingdings" w:ascii="Arial" w:hAnsi="Arial"/>
          <w:b/>
          <w:bCs/>
          <w:color w:val="009EC7"/>
          <w:sz w:val="18"/>
          <w:szCs w:val="18"/>
        </w:rPr>
        <w:t></w:t>
      </w:r>
      <w:r>
        <w:rPr>
          <w:rFonts w:eastAsia="Arial" w:cs="Arial" w:ascii="Arial" w:hAnsi="Arial"/>
          <w:color w:val="000000"/>
          <w:sz w:val="18"/>
          <w:szCs w:val="18"/>
        </w:rPr>
        <w:t>гражданина) по окончании срока действия социального контракта;</w:t>
      </w:r>
    </w:p>
    <w:p>
      <w:pPr>
        <w:pStyle w:val="Normal"/>
        <w:spacing w:lineRule="exact" w:line="1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</w:r>
    </w:p>
    <w:p>
      <w:pPr>
        <w:pStyle w:val="Normal"/>
        <w:spacing w:lineRule="auto" w:line="247"/>
        <w:ind w:left="370" w:right="880" w:hanging="360"/>
        <w:rPr>
          <w:rFonts w:ascii="Arial" w:hAnsi="Arial"/>
          <w:sz w:val="18"/>
          <w:szCs w:val="18"/>
        </w:rPr>
      </w:pPr>
      <w:r>
        <w:rPr>
          <w:rFonts w:eastAsia="Arial" w:cs="Arial" w:ascii="Arial" w:hAnsi="Arial"/>
          <w:color w:val="000000"/>
          <w:sz w:val="18"/>
          <w:szCs w:val="18"/>
        </w:rPr>
        <w:t xml:space="preserve">в) анализ целесообразности заключения нового </w:t>
      </w:r>
      <w:r>
        <w:rPr>
          <w:rFonts w:eastAsia="Wingdings" w:cs="Wingdings" w:ascii="Arial" w:hAnsi="Arial"/>
          <w:b/>
          <w:bCs/>
          <w:color w:val="009EC7"/>
          <w:sz w:val="18"/>
          <w:szCs w:val="18"/>
        </w:rPr>
        <w:t></w:t>
      </w:r>
      <w:r>
        <w:rPr>
          <w:rFonts w:eastAsia="Arial" w:cs="Arial" w:ascii="Arial" w:hAnsi="Arial"/>
          <w:color w:val="000000"/>
          <w:sz w:val="18"/>
          <w:szCs w:val="18"/>
        </w:rPr>
        <w:t>социального контракта.</w:t>
      </w:r>
    </w:p>
    <w:p>
      <w:pPr>
        <w:pStyle w:val="Normal"/>
        <w:spacing w:lineRule="auto" w:line="247"/>
        <w:ind w:left="10" w:right="880" w:hanging="0"/>
        <w:jc w:val="both"/>
        <w:rPr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  <w:t>Отчет предоставляется органом социальной защиты населения в Министерство ежемесячно.</w:t>
      </w:r>
    </w:p>
    <w:p>
      <w:pPr>
        <w:pStyle w:val="Normal"/>
        <w:spacing w:lineRule="auto" w:line="290"/>
        <w:ind w:left="10" w:right="880" w:hanging="0"/>
        <w:jc w:val="both"/>
        <w:rPr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  <w:t>Органом социальной защиты населения проводится ежемесячный мониторинг условий жизни гражданина (семьи гражданина) в течение следующего срока со дня окончания срока действия социального контракта: в течение 12 месяцев проверяется факт осуществления гражданином предпринимательской деятельности, факт регистрации в качестве индивидуального предпринимателя или налогоплательщика налога на профессиональный доход; в течение 12 месяцев рассчитывается доход  от предпринимательской  деятельности за 4-ый  - 6-й месяцы, 7-й — 9-й месяцы и 10-й — 12-й месяцы со дня окончания срока действия социального контракта.</w:t>
      </w:r>
    </w:p>
    <w:p>
      <w:pPr>
        <w:pStyle w:val="Normal"/>
        <w:spacing w:lineRule="exact" w:line="1"/>
        <w:jc w:val="both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</w:r>
    </w:p>
    <w:p>
      <w:pPr>
        <w:pStyle w:val="Normal"/>
        <w:spacing w:lineRule="auto" w:line="252"/>
        <w:ind w:left="10" w:right="1320" w:hanging="0"/>
        <w:jc w:val="both"/>
        <w:rPr>
          <w:sz w:val="18"/>
          <w:szCs w:val="18"/>
        </w:rPr>
      </w:pPr>
      <w:r>
        <w:drawing>
          <wp:anchor behindDoc="1" distT="0" distB="0" distL="0" distR="0" simplePos="0" locked="0" layoutInCell="0" allowOverlap="1" relativeHeight="6">
            <wp:simplePos x="0" y="0"/>
            <wp:positionH relativeFrom="column">
              <wp:posOffset>1948180</wp:posOffset>
            </wp:positionH>
            <wp:positionV relativeFrom="paragraph">
              <wp:posOffset>55880</wp:posOffset>
            </wp:positionV>
            <wp:extent cx="1109980" cy="921385"/>
            <wp:effectExtent l="0" t="0" r="0" b="0"/>
            <wp:wrapNone/>
            <wp:docPr id="3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8">
            <wp:simplePos x="0" y="0"/>
            <wp:positionH relativeFrom="column">
              <wp:posOffset>5832475</wp:posOffset>
            </wp:positionH>
            <wp:positionV relativeFrom="paragraph">
              <wp:posOffset>-6723380</wp:posOffset>
            </wp:positionV>
            <wp:extent cx="695325" cy="723900"/>
            <wp:effectExtent l="0" t="0" r="0" b="0"/>
            <wp:wrapNone/>
            <wp:docPr id="4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 w:cs="Arial" w:ascii="Arial" w:hAnsi="Arial"/>
          <w:sz w:val="18"/>
          <w:szCs w:val="18"/>
        </w:rPr>
        <w:t>По результатам, полученным в ходе мониторинга, орган социальной защиты населения принимает решение о целесообразности заключения с гражданином нового социального контракта.</w:t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35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right="680" w:hanging="0"/>
        <w:jc w:val="center"/>
        <w:rPr>
          <w:sz w:val="24"/>
          <w:szCs w:val="24"/>
        </w:rPr>
      </w:pPr>
      <w:r>
        <w:rPr>
          <w:rFonts w:eastAsia="Arial" w:cs="Arial" w:ascii="Arial" w:hAnsi="Arial"/>
          <w:b/>
          <w:bCs/>
          <w:color w:val="001077"/>
          <w:sz w:val="24"/>
          <w:szCs w:val="24"/>
        </w:rPr>
        <w:t>Социальный</w:t>
      </w:r>
    </w:p>
    <w:p>
      <w:pPr>
        <w:pStyle w:val="Normal"/>
        <w:spacing w:lineRule="exact" w:line="2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right="680" w:hanging="0"/>
        <w:jc w:val="center"/>
        <w:rPr>
          <w:sz w:val="28"/>
          <w:szCs w:val="28"/>
        </w:rPr>
      </w:pPr>
      <w:r>
        <w:rPr>
          <w:rFonts w:eastAsia="Arial" w:cs="Arial" w:ascii="Arial" w:hAnsi="Arial"/>
          <w:b/>
          <w:bCs/>
          <w:color w:val="001077"/>
          <w:sz w:val="24"/>
          <w:szCs w:val="24"/>
        </w:rPr>
        <w:t>контракт</w:t>
      </w:r>
      <w:r>
        <w:rPr>
          <w:rFonts w:eastAsia="Arial" w:cs="Arial" w:ascii="Arial" w:hAnsi="Arial"/>
          <w:b/>
          <w:bCs/>
          <w:color w:val="001077"/>
          <w:sz w:val="28"/>
          <w:szCs w:val="28"/>
        </w:rPr>
        <w:t>.</w:t>
      </w:r>
    </w:p>
    <w:p>
      <w:pPr>
        <w:pStyle w:val="Normal"/>
        <w:spacing w:lineRule="exact" w:lin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720" w:hanging="0"/>
        <w:rPr>
          <w:sz w:val="24"/>
          <w:szCs w:val="24"/>
        </w:rPr>
      </w:pPr>
      <w:r>
        <w:rPr>
          <w:rFonts w:eastAsia="Arial" w:cs="Arial" w:ascii="Arial" w:hAnsi="Arial"/>
          <w:b/>
          <w:bCs/>
          <w:color w:val="009EC7"/>
          <w:sz w:val="24"/>
          <w:szCs w:val="24"/>
        </w:rPr>
        <w:t>Сделай все</w:t>
      </w:r>
    </w:p>
    <w:p>
      <w:pPr>
        <w:pStyle w:val="Normal"/>
        <w:spacing w:lineRule="exact" w:lin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700" w:hanging="0"/>
        <w:rPr>
          <w:sz w:val="24"/>
          <w:szCs w:val="24"/>
        </w:rPr>
      </w:pPr>
      <w:r>
        <w:rPr>
          <w:rFonts w:eastAsia="Arial" w:cs="Arial" w:ascii="Arial" w:hAnsi="Arial"/>
          <w:b/>
          <w:bCs/>
          <w:color w:val="009EC7"/>
          <w:sz w:val="24"/>
          <w:szCs w:val="24"/>
        </w:rPr>
        <w:t>возможное!</w:t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/>
      </w:pPr>
      <w:r>
        <w:rPr>
          <w:rFonts w:eastAsia="Times New Roman" w:cs="Arial" w:ascii="Arial" w:hAnsi="Arial"/>
          <w:color w:val="000000" w:themeColor="text1"/>
          <w:sz w:val="24"/>
          <w:szCs w:val="24"/>
        </w:rPr>
        <w:t>По вопросам заключения социальных контрактов Вы можете обратиться в Управление социальной защиты по адресу г.Усолье – Сибирское Б.Хмельницкого,32</w:t>
      </w:r>
    </w:p>
    <w:p>
      <w:pPr>
        <w:pStyle w:val="Normal"/>
        <w:jc w:val="center"/>
        <w:rPr/>
      </w:pPr>
      <w:r>
        <w:rPr>
          <w:rFonts w:eastAsia="Times New Roman" w:cs="Arial" w:ascii="Arial" w:hAnsi="Arial"/>
          <w:color w:val="000000" w:themeColor="text1"/>
          <w:sz w:val="24"/>
          <w:szCs w:val="24"/>
        </w:rPr>
        <w:t xml:space="preserve"> </w:t>
      </w:r>
    </w:p>
    <w:p>
      <w:pPr>
        <w:pStyle w:val="Normal"/>
        <w:jc w:val="center"/>
        <w:rPr/>
      </w:pPr>
      <w:r>
        <w:rPr>
          <w:rFonts w:eastAsia="Times New Roman" w:cs="Arial" w:ascii="Arial" w:hAnsi="Arial"/>
          <w:color w:val="000000" w:themeColor="text1"/>
          <w:sz w:val="24"/>
          <w:szCs w:val="24"/>
        </w:rPr>
        <w:t xml:space="preserve"> </w:t>
      </w:r>
      <w:r>
        <w:rPr>
          <w:rFonts w:eastAsia="Times New Roman" w:cs="Arial" w:ascii="Arial" w:hAnsi="Arial"/>
          <w:color w:val="000000" w:themeColor="text1"/>
        </w:rPr>
        <w:t xml:space="preserve">контактный телефон: </w:t>
      </w:r>
    </w:p>
    <w:p>
      <w:pPr>
        <w:pStyle w:val="Normal"/>
        <w:jc w:val="center"/>
        <w:rPr>
          <w:rFonts w:ascii="Arial" w:hAnsi="Arial" w:eastAsia="Times New Roman" w:cs="Arial"/>
        </w:rPr>
      </w:pPr>
      <w:r>
        <w:rPr>
          <w:rFonts w:eastAsia="Times New Roman" w:cs="Arial" w:ascii="Arial" w:hAnsi="Arial"/>
        </w:rPr>
      </w:r>
    </w:p>
    <w:p>
      <w:pPr>
        <w:pStyle w:val="Normal"/>
        <w:jc w:val="center"/>
        <w:rPr/>
      </w:pPr>
      <w:r>
        <w:rPr>
          <w:rFonts w:eastAsia="Times New Roman" w:cs="Arial" w:ascii="Arial" w:hAnsi="Arial"/>
        </w:rPr>
        <w:t>8(39543) 6-21-23</w:t>
      </w:r>
    </w:p>
    <w:p>
      <w:pPr>
        <w:pStyle w:val="Normal"/>
        <w:jc w:val="center"/>
        <w:rPr/>
      </w:pPr>
      <w:r>
        <w:rPr>
          <w:rFonts w:eastAsia="Times New Roman" w:cs="Arial" w:ascii="Arial" w:hAnsi="Arial"/>
        </w:rPr>
        <w:t>8 950 056 03 20</w:t>
      </w:r>
    </w:p>
    <w:p>
      <w:pPr>
        <w:pStyle w:val="Normal"/>
        <w:jc w:val="center"/>
        <w:rPr/>
      </w:pPr>
      <w:r>
        <w:rPr>
          <w:rFonts w:eastAsia="Times New Roman" w:cs="Arial" w:ascii="Arial" w:hAnsi="Arial"/>
          <w:b/>
          <w:sz w:val="24"/>
          <w:szCs w:val="24"/>
        </w:rPr>
        <w:t xml:space="preserve">или </w:t>
      </w:r>
    </w:p>
    <w:p>
      <w:pPr>
        <w:pStyle w:val="Normal"/>
        <w:jc w:val="center"/>
        <w:rPr/>
      </w:pPr>
      <w:r>
        <w:rPr>
          <w:rFonts w:eastAsia="Times New Roman" w:cs="Arial" w:ascii="Arial" w:hAnsi="Arial"/>
          <w:sz w:val="24"/>
          <w:szCs w:val="24"/>
        </w:rPr>
        <w:t xml:space="preserve">к специалистам участковых служб МО Усольского района </w:t>
      </w:r>
    </w:p>
    <w:p>
      <w:pPr>
        <w:pStyle w:val="Normal"/>
        <w:jc w:val="center"/>
        <w:rPr/>
      </w:pPr>
      <w:r>
        <w:rPr>
          <w:rFonts w:eastAsia="Times New Roman" w:cs="Arial" w:ascii="Arial" w:hAnsi="Arial"/>
          <w:sz w:val="20"/>
          <w:szCs w:val="20"/>
        </w:rPr>
        <w:t>(для жителей Усольского района)</w:t>
      </w:r>
    </w:p>
    <w:p>
      <w:pPr>
        <w:pStyle w:val="Normal"/>
        <w:jc w:val="center"/>
        <w:rPr/>
      </w:pPr>
      <w:r>
        <w:rPr>
          <w:rFonts w:eastAsia="Times New Roman" w:cs="Arial" w:ascii="Arial" w:hAnsi="Arial"/>
          <w:sz w:val="24"/>
          <w:szCs w:val="24"/>
        </w:rPr>
        <w:t>согласно графику приема</w:t>
      </w:r>
    </w:p>
    <w:p>
      <w:pPr>
        <w:pStyle w:val="Normal"/>
        <w:jc w:val="center"/>
        <w:rPr>
          <w:rFonts w:ascii="Arial" w:hAnsi="Arial" w:eastAsia="Times New Roman" w:cs="Arial"/>
          <w:sz w:val="20"/>
          <w:szCs w:val="20"/>
        </w:rPr>
      </w:pPr>
      <w:r>
        <w:rPr>
          <w:rFonts w:eastAsia="Times New Roman" w:cs="Arial" w:ascii="Arial" w:hAnsi="Arial"/>
          <w:sz w:val="20"/>
          <w:szCs w:val="20"/>
        </w:rPr>
      </w:r>
    </w:p>
    <w:p>
      <w:pPr>
        <w:pStyle w:val="Normal"/>
        <w:spacing w:lineRule="exact" w:line="291"/>
        <w:jc w:val="center"/>
        <w:rPr>
          <w:rFonts w:ascii="Arial" w:hAnsi="Arial" w:eastAsia="Times New Roman" w:cs="Arial"/>
          <w:color w:val="FF0000"/>
          <w:sz w:val="28"/>
          <w:szCs w:val="28"/>
        </w:rPr>
      </w:pPr>
      <w:hyperlink r:id="rId6">
        <w:r>
          <w:rPr>
            <w:rFonts w:eastAsia="Times New Roman"/>
            <w:b/>
            <w:color w:val="7030A0"/>
            <w:sz w:val="24"/>
            <w:szCs w:val="24"/>
            <w:u w:val="single"/>
          </w:rPr>
          <w:t>http://usolieuszn.ucoz.ru/</w:t>
        </w:r>
      </w:hyperlink>
      <w:r>
        <w:rPr>
          <w:rFonts w:eastAsia="Times New Roman"/>
          <w:sz w:val="24"/>
          <w:szCs w:val="24"/>
        </w:rPr>
        <w:t xml:space="preserve">  </w:t>
      </w:r>
    </w:p>
    <w:p>
      <w:pPr>
        <w:pStyle w:val="Normal"/>
        <w:spacing w:lineRule="exact" w:line="291"/>
        <w:jc w:val="center"/>
        <w:rPr>
          <w:rFonts w:ascii="Arial" w:hAnsi="Arial" w:eastAsia="Times New Roman" w:cs="Arial"/>
          <w:color w:val="FF0000"/>
          <w:sz w:val="28"/>
          <w:szCs w:val="28"/>
        </w:rPr>
      </w:pPr>
      <w:r>
        <w:rPr>
          <w:rFonts w:eastAsia="Times New Roman" w:cs="Arial" w:ascii="Arial" w:hAnsi="Arial"/>
          <w:color w:val="FF0000"/>
          <w:sz w:val="28"/>
          <w:szCs w:val="28"/>
        </w:rPr>
      </w:r>
    </w:p>
    <w:p>
      <w:pPr>
        <w:pStyle w:val="Normal"/>
        <w:spacing w:lineRule="exact" w:line="20"/>
        <w:ind w:left="142" w:hanging="14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lineRule="auto" w:line="228"/>
        <w:ind w:left="-1159" w:hanging="0"/>
        <w:jc w:val="center"/>
        <w:rPr>
          <w:rFonts w:ascii="Arial" w:hAnsi="Arial" w:eastAsia="Arial" w:cs="Arial"/>
          <w:i/>
          <w:i/>
          <w:iCs/>
          <w:color w:val="001077"/>
          <w:sz w:val="19"/>
          <w:szCs w:val="19"/>
        </w:rPr>
      </w:pPr>
      <w:r>
        <w:rPr>
          <w:rFonts w:eastAsia="Arial" w:cs="Arial" w:ascii="Arial" w:hAnsi="Arial"/>
          <w:i/>
          <w:iCs/>
          <w:color w:val="001077"/>
          <w:sz w:val="19"/>
          <w:szCs w:val="19"/>
        </w:rPr>
        <w:t xml:space="preserve">     </w:t>
      </w:r>
    </w:p>
    <w:p>
      <w:pPr>
        <w:pStyle w:val="Normal"/>
        <w:spacing w:lineRule="auto" w:line="228"/>
        <w:ind w:left="-1159" w:hanging="0"/>
        <w:jc w:val="center"/>
        <w:rPr>
          <w:rFonts w:ascii="Arial" w:hAnsi="Arial" w:eastAsia="Arial" w:cs="Arial"/>
          <w:i/>
          <w:i/>
          <w:iCs/>
          <w:color w:val="001077"/>
          <w:sz w:val="19"/>
          <w:szCs w:val="19"/>
        </w:rPr>
      </w:pPr>
      <w:r>
        <w:rPr>
          <w:rFonts w:eastAsia="Arial" w:cs="Arial" w:ascii="Arial" w:hAnsi="Arial"/>
          <w:i/>
          <w:iCs/>
          <w:color w:val="001077"/>
          <w:sz w:val="19"/>
          <w:szCs w:val="19"/>
        </w:rPr>
      </w:r>
    </w:p>
    <w:p>
      <w:pPr>
        <w:pStyle w:val="Normal"/>
        <w:spacing w:lineRule="auto" w:line="228"/>
        <w:ind w:left="-1159" w:hanging="0"/>
        <w:jc w:val="center"/>
        <w:rPr>
          <w:rFonts w:ascii="Arial" w:hAnsi="Arial" w:eastAsia="Arial" w:cs="Arial"/>
          <w:i/>
          <w:i/>
          <w:iCs/>
          <w:color w:val="001077"/>
          <w:sz w:val="19"/>
          <w:szCs w:val="19"/>
        </w:rPr>
      </w:pPr>
      <w:r>
        <w:rPr>
          <w:rFonts w:eastAsia="Arial" w:cs="Arial" w:ascii="Arial" w:hAnsi="Arial"/>
          <w:i/>
          <w:iCs/>
          <w:color w:val="001077"/>
          <w:sz w:val="19"/>
          <w:szCs w:val="19"/>
        </w:rPr>
      </w:r>
    </w:p>
    <w:p>
      <w:pPr>
        <w:pStyle w:val="Normal"/>
        <w:spacing w:lineRule="auto" w:line="228"/>
        <w:ind w:left="-1159" w:hanging="0"/>
        <w:jc w:val="center"/>
        <w:rPr>
          <w:rFonts w:ascii="Arial" w:hAnsi="Arial" w:eastAsia="Arial" w:cs="Arial"/>
          <w:i/>
          <w:i/>
          <w:iCs/>
          <w:color w:val="001077"/>
          <w:sz w:val="19"/>
          <w:szCs w:val="19"/>
        </w:rPr>
      </w:pPr>
      <w:r>
        <w:rPr>
          <w:rFonts w:eastAsia="Arial" w:cs="Arial" w:ascii="Arial" w:hAnsi="Arial"/>
          <w:i/>
          <w:iCs/>
          <w:color w:val="001077"/>
          <w:sz w:val="19"/>
          <w:szCs w:val="19"/>
        </w:rPr>
      </w:r>
    </w:p>
    <w:p>
      <w:pPr>
        <w:pStyle w:val="Normal"/>
        <w:spacing w:lineRule="auto" w:line="228"/>
        <w:ind w:left="-1159" w:hanging="0"/>
        <w:jc w:val="center"/>
        <w:rPr>
          <w:rFonts w:ascii="Arial" w:hAnsi="Arial" w:eastAsia="Arial" w:cs="Arial"/>
          <w:i/>
          <w:i/>
          <w:iCs/>
          <w:color w:val="001077"/>
          <w:sz w:val="19"/>
          <w:szCs w:val="19"/>
        </w:rPr>
      </w:pPr>
      <w:r>
        <w:rPr>
          <w:rFonts w:eastAsia="Arial" w:cs="Arial" w:ascii="Arial" w:hAnsi="Arial"/>
          <w:i/>
          <w:iCs/>
          <w:color w:val="001077"/>
          <w:sz w:val="19"/>
          <w:szCs w:val="19"/>
        </w:rPr>
      </w:r>
    </w:p>
    <w:p>
      <w:pPr>
        <w:pStyle w:val="Normal"/>
        <w:spacing w:lineRule="auto" w:line="228"/>
        <w:ind w:left="-1159" w:hanging="0"/>
        <w:jc w:val="center"/>
        <w:rPr>
          <w:rFonts w:ascii="Arial" w:hAnsi="Arial" w:eastAsia="Arial" w:cs="Arial"/>
          <w:i/>
          <w:i/>
          <w:iCs/>
          <w:color w:val="001077"/>
          <w:sz w:val="19"/>
          <w:szCs w:val="19"/>
        </w:rPr>
      </w:pPr>
      <w:r>
        <w:rPr>
          <w:rFonts w:eastAsia="Arial" w:cs="Arial" w:ascii="Arial" w:hAnsi="Arial"/>
          <w:i/>
          <w:iCs/>
          <w:color w:val="001077"/>
          <w:sz w:val="16"/>
          <w:szCs w:val="16"/>
        </w:rPr>
        <w:t>Министерство социального развития, опеки и</w:t>
      </w:r>
      <w:r>
        <w:rPr>
          <w:rFonts w:eastAsia="Arial" w:cs="Arial" w:ascii="Arial" w:hAnsi="Arial"/>
          <w:i/>
          <w:iCs/>
          <w:color w:val="001077"/>
          <w:sz w:val="19"/>
          <w:szCs w:val="19"/>
        </w:rPr>
        <w:t xml:space="preserve"> </w:t>
      </w:r>
    </w:p>
    <w:p>
      <w:pPr>
        <w:pStyle w:val="Normal"/>
        <w:spacing w:lineRule="auto" w:line="228"/>
        <w:ind w:left="-1159" w:hanging="0"/>
        <w:jc w:val="center"/>
        <w:rPr>
          <w:rFonts w:ascii="Arial" w:hAnsi="Arial" w:eastAsia="Arial" w:cs="Arial"/>
          <w:i/>
          <w:i/>
          <w:iCs/>
          <w:color w:val="001077"/>
          <w:sz w:val="19"/>
          <w:szCs w:val="19"/>
        </w:rPr>
      </w:pPr>
      <w:r>
        <w:rPr>
          <w:rFonts w:eastAsia="Arial" w:cs="Arial" w:ascii="Arial" w:hAnsi="Arial"/>
          <w:i/>
          <w:iCs/>
          <w:color w:val="001077"/>
          <w:sz w:val="16"/>
          <w:szCs w:val="16"/>
        </w:rPr>
        <w:t>попечительства Иркутской области</w:t>
      </w:r>
      <w:r>
        <w:rPr>
          <w:rFonts w:eastAsia="Arial" w:cs="Arial" w:ascii="Arial" w:hAnsi="Arial"/>
          <w:i/>
          <w:iCs/>
          <w:color w:val="001077"/>
          <w:sz w:val="19"/>
          <w:szCs w:val="19"/>
        </w:rPr>
        <w:t xml:space="preserve"> </w:t>
      </w:r>
    </w:p>
    <w:p>
      <w:pPr>
        <w:pStyle w:val="Normal"/>
        <w:spacing w:lineRule="auto" w:line="228"/>
        <w:ind w:left="-1159" w:hanging="0"/>
        <w:jc w:val="center"/>
        <w:rPr>
          <w:rFonts w:ascii="Arial" w:hAnsi="Arial" w:eastAsia="Arial" w:cs="Arial"/>
          <w:i/>
          <w:i/>
          <w:iCs/>
          <w:color w:val="001077"/>
          <w:sz w:val="19"/>
          <w:szCs w:val="19"/>
        </w:rPr>
      </w:pPr>
      <w:r>
        <w:rPr>
          <w:rFonts w:eastAsia="Arial" w:cs="Arial" w:ascii="Arial" w:hAnsi="Arial"/>
          <w:i/>
          <w:iCs/>
          <w:color w:val="001077"/>
          <w:sz w:val="19"/>
          <w:szCs w:val="19"/>
        </w:rPr>
      </w:r>
    </w:p>
    <w:p>
      <w:pPr>
        <w:pStyle w:val="Normal"/>
        <w:spacing w:lineRule="auto" w:line="228"/>
        <w:ind w:left="-1159" w:hanging="0"/>
        <w:jc w:val="center"/>
        <w:rPr>
          <w:rFonts w:ascii="Arial" w:hAnsi="Arial" w:eastAsia="Arial" w:cs="Arial"/>
          <w:i/>
          <w:i/>
          <w:iCs/>
          <w:color w:val="001077"/>
          <w:sz w:val="19"/>
          <w:szCs w:val="19"/>
        </w:rPr>
      </w:pPr>
      <w:r>
        <w:rPr>
          <w:rFonts w:eastAsia="Arial" w:cs="Arial" w:ascii="Arial" w:hAnsi="Arial"/>
          <w:i/>
          <w:iCs/>
          <w:color w:val="001077"/>
          <w:sz w:val="19"/>
          <w:szCs w:val="19"/>
        </w:rPr>
        <w:t>ОГБУ «УСЗСОН по городу Усолье – Сибирское</w:t>
      </w:r>
    </w:p>
    <w:p>
      <w:pPr>
        <w:pStyle w:val="Normal"/>
        <w:spacing w:lineRule="auto" w:line="228"/>
        <w:ind w:left="-1159" w:hanging="0"/>
        <w:jc w:val="center"/>
        <w:rPr>
          <w:sz w:val="20"/>
          <w:szCs w:val="20"/>
        </w:rPr>
      </w:pPr>
      <w:r>
        <w:rPr>
          <w:rFonts w:eastAsia="Arial" w:cs="Arial" w:ascii="Arial" w:hAnsi="Arial"/>
          <w:i/>
          <w:iCs/>
          <w:color w:val="001077"/>
          <w:sz w:val="19"/>
          <w:szCs w:val="19"/>
        </w:rPr>
        <w:t>и Усольскому району»</w:t>
      </w:r>
    </w:p>
    <w:p>
      <w:pPr>
        <w:pStyle w:val="Normal"/>
        <w:spacing w:lineRule="exact" w:line="2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920" w:hanging="0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FB0015"/>
          <w:sz w:val="52"/>
          <w:szCs w:val="52"/>
        </w:rPr>
        <w:t>памятка</w:t>
      </w:r>
    </w:p>
    <w:p>
      <w:pPr>
        <w:pStyle w:val="Normal"/>
        <w:spacing w:lineRule="exact" w:line="8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right="160" w:hanging="0"/>
        <w:jc w:val="center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001077"/>
          <w:sz w:val="19"/>
          <w:szCs w:val="19"/>
        </w:rPr>
        <w:t>правила реализации мероприятий оказания</w:t>
      </w:r>
    </w:p>
    <w:p>
      <w:pPr>
        <w:pStyle w:val="Normal"/>
        <w:spacing w:lineRule="exact" w:line="2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00"/>
        <w:ind w:left="320" w:right="440" w:hanging="41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001077"/>
          <w:sz w:val="20"/>
          <w:szCs w:val="20"/>
        </w:rPr>
        <w:t>государственной социальной помощи на основании социального контракта</w:t>
      </w:r>
    </w:p>
    <w:p>
      <w:pPr>
        <w:pStyle w:val="Normal"/>
        <w:spacing w:lineRule="exact" w:line="10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28"/>
        <w:ind w:left="380" w:right="320" w:hanging="0"/>
        <w:jc w:val="center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FB0015"/>
          <w:sz w:val="28"/>
          <w:szCs w:val="28"/>
        </w:rPr>
        <w:t>осуществление индивидуальной предпринимательской деятельности</w:t>
      </w:r>
    </w:p>
    <w:p>
      <w:pPr>
        <w:pStyle w:val="Normal"/>
        <w:spacing w:lineRule="exact" w:lin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  <w:drawing>
          <wp:anchor behindDoc="1" distT="0" distB="0" distL="0" distR="0" simplePos="0" locked="0" layoutInCell="0" allowOverlap="1" relativeHeight="9">
            <wp:simplePos x="0" y="0"/>
            <wp:positionH relativeFrom="column">
              <wp:posOffset>-145415</wp:posOffset>
            </wp:positionH>
            <wp:positionV relativeFrom="paragraph">
              <wp:posOffset>20955</wp:posOffset>
            </wp:positionV>
            <wp:extent cx="3329940" cy="3208020"/>
            <wp:effectExtent l="0" t="0" r="0" b="0"/>
            <wp:wrapNone/>
            <wp:docPr id="5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20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3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35"/>
        <w:ind w:left="400" w:right="80" w:firstLine="6"/>
        <w:rPr>
          <w:rFonts w:ascii="Arial" w:hAnsi="Arial" w:eastAsia="Arial" w:cs="Arial"/>
          <w:b/>
          <w:bCs/>
          <w:color w:val="001077"/>
          <w:sz w:val="40"/>
          <w:szCs w:val="40"/>
        </w:rPr>
      </w:pPr>
      <w:r>
        <w:rPr>
          <w:rFonts w:eastAsia="Arial" w:cs="Arial" w:ascii="Arial" w:hAnsi="Arial"/>
          <w:b/>
          <w:bCs/>
          <w:color w:val="001077"/>
          <w:sz w:val="40"/>
          <w:szCs w:val="40"/>
        </w:rPr>
      </w:r>
    </w:p>
    <w:p>
      <w:pPr>
        <w:pStyle w:val="Normal"/>
        <w:spacing w:lineRule="auto" w:line="235"/>
        <w:ind w:left="400" w:right="80" w:firstLine="6"/>
        <w:rPr>
          <w:rFonts w:ascii="Arial" w:hAnsi="Arial" w:eastAsia="Arial" w:cs="Arial"/>
          <w:b/>
          <w:bCs/>
          <w:color w:val="001077"/>
          <w:sz w:val="40"/>
          <w:szCs w:val="40"/>
        </w:rPr>
      </w:pPr>
      <w:r>
        <w:rPr>
          <w:rFonts w:eastAsia="Arial" w:cs="Arial" w:ascii="Arial" w:hAnsi="Arial"/>
          <w:b/>
          <w:bCs/>
          <w:color w:val="001077"/>
          <w:sz w:val="40"/>
          <w:szCs w:val="40"/>
        </w:rPr>
      </w:r>
    </w:p>
    <w:p>
      <w:pPr>
        <w:pStyle w:val="Normal"/>
        <w:spacing w:lineRule="auto" w:line="235"/>
        <w:ind w:left="400" w:right="80" w:firstLine="6"/>
        <w:rPr>
          <w:rFonts w:ascii="Arial" w:hAnsi="Arial" w:eastAsia="Arial" w:cs="Arial"/>
          <w:b/>
          <w:bCs/>
          <w:color w:val="001077"/>
          <w:sz w:val="40"/>
          <w:szCs w:val="40"/>
        </w:rPr>
      </w:pPr>
      <w:r>
        <w:rPr>
          <w:rFonts w:eastAsia="Arial" w:cs="Arial" w:ascii="Arial" w:hAnsi="Arial"/>
          <w:b/>
          <w:bCs/>
          <w:color w:val="001077"/>
          <w:sz w:val="40"/>
          <w:szCs w:val="40"/>
        </w:rPr>
      </w:r>
    </w:p>
    <w:p>
      <w:pPr>
        <w:pStyle w:val="Normal"/>
        <w:spacing w:lineRule="auto" w:line="235"/>
        <w:ind w:left="400" w:right="80" w:firstLine="6"/>
        <w:rPr>
          <w:rFonts w:ascii="Arial" w:hAnsi="Arial" w:eastAsia="Arial" w:cs="Arial"/>
          <w:b/>
          <w:bCs/>
          <w:color w:val="001077"/>
          <w:sz w:val="40"/>
          <w:szCs w:val="40"/>
        </w:rPr>
      </w:pPr>
      <w:r>
        <w:rPr>
          <w:rFonts w:eastAsia="Arial" w:cs="Arial" w:ascii="Arial" w:hAnsi="Arial"/>
          <w:b/>
          <w:bCs/>
          <w:color w:val="001077"/>
          <w:sz w:val="40"/>
          <w:szCs w:val="40"/>
        </w:rPr>
      </w:r>
    </w:p>
    <w:p>
      <w:pPr>
        <w:pStyle w:val="Normal"/>
        <w:spacing w:lineRule="auto" w:line="235"/>
        <w:ind w:left="400" w:right="80" w:firstLine="6"/>
        <w:rPr>
          <w:rFonts w:ascii="Arial" w:hAnsi="Arial" w:eastAsia="Arial" w:cs="Arial"/>
          <w:b/>
          <w:bCs/>
          <w:color w:val="001077"/>
          <w:sz w:val="40"/>
          <w:szCs w:val="40"/>
        </w:rPr>
      </w:pPr>
      <w:r>
        <w:rPr>
          <w:rFonts w:eastAsia="Arial" w:cs="Arial" w:ascii="Arial" w:hAnsi="Arial"/>
          <w:b/>
          <w:bCs/>
          <w:color w:val="001077"/>
          <w:sz w:val="40"/>
          <w:szCs w:val="40"/>
        </w:rPr>
      </w:r>
    </w:p>
    <w:p>
      <w:pPr>
        <w:pStyle w:val="Normal"/>
        <w:spacing w:lineRule="auto" w:line="235"/>
        <w:ind w:left="400" w:right="80" w:firstLine="6"/>
        <w:rPr>
          <w:sz w:val="20"/>
          <w:szCs w:val="20"/>
        </w:rPr>
      </w:pPr>
      <w:r>
        <w:rPr/>
        <w:drawing>
          <wp:inline distT="0" distB="0" distL="0" distR="0">
            <wp:extent cx="107950" cy="107950"/>
            <wp:effectExtent l="0" t="0" r="0" b="0"/>
            <wp:docPr id="6" name="Pictur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07950" cy="107950"/>
            <wp:effectExtent l="0" t="0" r="0" b="0"/>
            <wp:docPr id="7" name="Pictur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 w:cs="Arial" w:ascii="Arial" w:hAnsi="Arial"/>
          <w:b/>
          <w:bCs/>
          <w:color w:val="001077"/>
          <w:sz w:val="40"/>
          <w:szCs w:val="40"/>
        </w:rPr>
        <w:t xml:space="preserve"> </w:t>
      </w:r>
      <w:r>
        <w:rPr>
          <w:rFonts w:eastAsia="Arial" w:cs="Arial" w:ascii="Arial" w:hAnsi="Arial"/>
          <w:b/>
          <w:bCs/>
          <w:color w:val="001077"/>
          <w:sz w:val="40"/>
          <w:szCs w:val="40"/>
        </w:rPr>
        <w:t xml:space="preserve">СОЦИАЛЬНЫЙ </w:t>
      </w:r>
      <w:r>
        <w:rPr/>
        <w:drawing>
          <wp:inline distT="0" distB="0" distL="0" distR="0">
            <wp:extent cx="288290" cy="238125"/>
            <wp:effectExtent l="0" t="0" r="0" b="0"/>
            <wp:docPr id="8" name="Pictur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 w:cs="Arial" w:ascii="Arial" w:hAnsi="Arial"/>
          <w:b/>
          <w:bCs/>
          <w:color w:val="009EC7"/>
          <w:sz w:val="40"/>
          <w:szCs w:val="40"/>
        </w:rPr>
        <w:t xml:space="preserve"> КОНТРАКТ</w:t>
      </w:r>
    </w:p>
    <w:p>
      <w:pPr>
        <w:pStyle w:val="Normal"/>
        <w:spacing w:lineRule="exact" w:line="20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behindDoc="1" distT="0" distB="0" distL="0" distR="0" simplePos="0" locked="0" layoutInCell="0" allowOverlap="1" relativeHeight="10">
                <wp:simplePos x="0" y="0"/>
                <wp:positionH relativeFrom="column">
                  <wp:posOffset>254635</wp:posOffset>
                </wp:positionH>
                <wp:positionV relativeFrom="paragraph">
                  <wp:posOffset>-429895</wp:posOffset>
                </wp:positionV>
                <wp:extent cx="113030" cy="113030"/>
                <wp:effectExtent l="0" t="0" r="0" b="0"/>
                <wp:wrapNone/>
                <wp:docPr id="9" name="Shape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40" cy="113040"/>
                        </a:xfrm>
                        <a:prstGeom prst="rect">
                          <a:avLst/>
                        </a:prstGeom>
                        <a:solidFill>
                          <a:srgbClr val="366db2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Shape 9" path="m0,0l-2147483645,0l-2147483645,-2147483646l0,-2147483646xe" fillcolor="#366db2" stroked="f" o:allowincell="f" style="position:absolute;margin-left:20.05pt;margin-top:-33.85pt;width:8.85pt;height:8.85pt;mso-wrap-style:none;v-text-anchor:middle">
                <v:fill o:detectmouseclick="t" type="solid" color2="#c9924d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column">
                  <wp:posOffset>412750</wp:posOffset>
                </wp:positionH>
                <wp:positionV relativeFrom="paragraph">
                  <wp:posOffset>-429895</wp:posOffset>
                </wp:positionV>
                <wp:extent cx="113665" cy="113030"/>
                <wp:effectExtent l="0" t="0" r="0" b="0"/>
                <wp:wrapNone/>
                <wp:docPr id="10" name="Shape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60" cy="113040"/>
                        </a:xfrm>
                        <a:prstGeom prst="rect">
                          <a:avLst/>
                        </a:prstGeom>
                        <a:solidFill>
                          <a:srgbClr val="a8dee5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Shape 10" path="m0,0l-2147483645,0l-2147483645,-2147483646l0,-2147483646xe" fillcolor="#a8dee5" stroked="f" o:allowincell="f" style="position:absolute;margin-left:32.5pt;margin-top:-33.85pt;width:8.9pt;height:8.85pt;mso-wrap-style:none;v-text-anchor:middle">
                <v:fill o:detectmouseclick="t" type="solid" color2="#57211a"/>
                <v:stroke color="#3465a4" joinstyle="round" endcap="flat"/>
                <w10:wrap type="none"/>
              </v:rect>
            </w:pict>
          </mc:Fallback>
        </mc:AlternateContent>
      </w:r>
    </w:p>
    <w:p>
      <w:pPr>
        <w:sectPr>
          <w:type w:val="nextPage"/>
          <w:pgSz w:orient="landscape" w:w="16838" w:h="11906"/>
          <w:pgMar w:left="490" w:right="598" w:gutter="0" w:header="0" w:top="139" w:footer="0" w:bottom="88"/>
          <w:pgNumType w:fmt="decimal"/>
          <w:cols w:num="3" w:equalWidth="false" w:sep="false">
            <w:col w:w="5649" w:space="720"/>
            <w:col w:w="4055" w:space="566"/>
            <w:col w:w="4758"/>
          </w:cols>
          <w:formProt w:val="false"/>
          <w:textDirection w:val="lrTb"/>
          <w:docGrid w:type="default" w:linePitch="600" w:charSpace="36864"/>
        </w:sectPr>
      </w:pPr>
    </w:p>
    <w:p>
      <w:pPr>
        <w:pStyle w:val="Normal"/>
        <w:rPr/>
      </w:pPr>
      <w:r>
        <w:rPr/>
      </w:r>
    </w:p>
    <w:p>
      <w:pPr>
        <w:sectPr>
          <w:type w:val="continuous"/>
          <w:pgSz w:orient="landscape" w:w="16838" w:h="11906"/>
          <w:pgMar w:left="490" w:right="598" w:gutter="0" w:header="0" w:top="139" w:footer="0" w:bottom="88"/>
          <w:cols w:num="3" w:equalWidth="false" w:sep="false">
            <w:col w:w="4790" w:space="720"/>
            <w:col w:w="4799" w:space="720"/>
            <w:col w:w="4720"/>
          </w:cols>
          <w:formProt w:val="false"/>
          <w:textDirection w:val="lrTb"/>
          <w:docGrid w:type="default" w:linePitch="600" w:charSpace="36864"/>
        </w:sectPr>
      </w:pPr>
    </w:p>
    <w:tbl>
      <w:tblPr>
        <w:tblW w:w="4830" w:type="dxa"/>
        <w:jc w:val="left"/>
        <w:tblInd w:w="11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1" w:val="04a0" w:noHBand="0" w:lastColumn="0" w:firstColumn="1" w:lastRow="0" w:firstRow="1"/>
      </w:tblPr>
      <w:tblGrid>
        <w:gridCol w:w="2411"/>
        <w:gridCol w:w="2376"/>
        <w:gridCol w:w="43"/>
      </w:tblGrid>
      <w:tr>
        <w:trPr>
          <w:trHeight w:val="240" w:hRule="atLeast"/>
        </w:trPr>
        <w:tc>
          <w:tcPr>
            <w:tcW w:w="2411" w:type="dxa"/>
            <w:vMerge w:val="restart"/>
            <w:tcBorders>
              <w:top w:val="single" w:sz="8" w:space="0" w:color="001077"/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bookmarkStart w:id="2" w:name="page2"/>
            <w:bookmarkEnd w:id="2"/>
            <w:r>
              <w:rPr>
                <w:rFonts w:eastAsia="Arial" w:cs="Arial" w:ascii="Arial" w:hAnsi="Arial"/>
                <w:b/>
                <w:bCs/>
                <w:color w:val="009EC7"/>
                <w:sz w:val="18"/>
                <w:szCs w:val="18"/>
              </w:rPr>
              <w:t>Размер социальной</w:t>
            </w:r>
          </w:p>
        </w:tc>
        <w:tc>
          <w:tcPr>
            <w:tcW w:w="2376" w:type="dxa"/>
            <w:tcBorders>
              <w:top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9EC7"/>
                <w:sz w:val="18"/>
                <w:szCs w:val="18"/>
              </w:rPr>
              <w:t>Срок предоставления</w:t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108" w:hRule="atLeast"/>
        </w:trPr>
        <w:tc>
          <w:tcPr>
            <w:tcW w:w="2411" w:type="dxa"/>
            <w:vMerge w:val="continue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9"/>
                <w:szCs w:val="9"/>
              </w:rPr>
            </w:pPr>
            <w:r>
              <w:rPr>
                <w:sz w:val="9"/>
                <w:szCs w:val="9"/>
              </w:rPr>
            </w:r>
          </w:p>
        </w:tc>
        <w:tc>
          <w:tcPr>
            <w:tcW w:w="2376" w:type="dxa"/>
            <w:vMerge w:val="restart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9EC7"/>
                <w:sz w:val="18"/>
                <w:szCs w:val="18"/>
              </w:rPr>
              <w:t>выплаты по</w:t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108" w:hRule="atLeast"/>
        </w:trPr>
        <w:tc>
          <w:tcPr>
            <w:tcW w:w="2411" w:type="dxa"/>
            <w:vMerge w:val="restart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9EC7"/>
                <w:sz w:val="18"/>
                <w:szCs w:val="18"/>
              </w:rPr>
              <w:t>выплаты</w:t>
            </w:r>
          </w:p>
        </w:tc>
        <w:tc>
          <w:tcPr>
            <w:tcW w:w="2376" w:type="dxa"/>
            <w:vMerge w:val="continue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9"/>
                <w:szCs w:val="9"/>
              </w:rPr>
            </w:pPr>
            <w:r>
              <w:rPr>
                <w:sz w:val="9"/>
                <w:szCs w:val="9"/>
              </w:rPr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108" w:hRule="atLeast"/>
        </w:trPr>
        <w:tc>
          <w:tcPr>
            <w:tcW w:w="2411" w:type="dxa"/>
            <w:vMerge w:val="continue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9"/>
                <w:szCs w:val="9"/>
              </w:rPr>
            </w:pPr>
            <w:r>
              <w:rPr>
                <w:sz w:val="9"/>
                <w:szCs w:val="9"/>
              </w:rPr>
            </w:r>
          </w:p>
        </w:tc>
        <w:tc>
          <w:tcPr>
            <w:tcW w:w="2376" w:type="dxa"/>
            <w:vMerge w:val="restart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color w:val="009EC7"/>
                <w:sz w:val="18"/>
                <w:szCs w:val="18"/>
              </w:rPr>
              <w:t>соцконтракту</w:t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108" w:hRule="atLeast"/>
        </w:trPr>
        <w:tc>
          <w:tcPr>
            <w:tcW w:w="2411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9"/>
                <w:szCs w:val="9"/>
              </w:rPr>
            </w:pPr>
            <w:r>
              <w:rPr>
                <w:sz w:val="9"/>
                <w:szCs w:val="9"/>
              </w:rPr>
            </w:r>
          </w:p>
        </w:tc>
        <w:tc>
          <w:tcPr>
            <w:tcW w:w="2376" w:type="dxa"/>
            <w:vMerge w:val="continue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9"/>
                <w:szCs w:val="9"/>
              </w:rPr>
            </w:pPr>
            <w:r>
              <w:rPr>
                <w:sz w:val="9"/>
                <w:szCs w:val="9"/>
              </w:rPr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46" w:hRule="atLeast"/>
        </w:trPr>
        <w:tc>
          <w:tcPr>
            <w:tcW w:w="2411" w:type="dxa"/>
            <w:tcBorders>
              <w:left w:val="single" w:sz="8" w:space="0" w:color="001077"/>
              <w:bottom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3"/>
                <w:szCs w:val="3"/>
              </w:rPr>
            </w:pPr>
            <w:r>
              <w:rPr>
                <w:sz w:val="3"/>
                <w:szCs w:val="3"/>
              </w:rPr>
            </w:r>
          </w:p>
        </w:tc>
        <w:tc>
          <w:tcPr>
            <w:tcW w:w="2376" w:type="dxa"/>
            <w:tcBorders>
              <w:bottom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3"/>
                <w:szCs w:val="3"/>
              </w:rPr>
            </w:pPr>
            <w:r>
              <w:rPr>
                <w:sz w:val="3"/>
                <w:szCs w:val="3"/>
              </w:rPr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268" w:hRule="atLeast"/>
        </w:trPr>
        <w:tc>
          <w:tcPr>
            <w:tcW w:w="2411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i/>
                <w:iCs/>
                <w:w w:val="89"/>
                <w:sz w:val="20"/>
                <w:szCs w:val="20"/>
              </w:rPr>
              <w:t>не более 350 000 руб.</w:t>
            </w:r>
          </w:p>
        </w:tc>
        <w:tc>
          <w:tcPr>
            <w:tcW w:w="2376" w:type="dxa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22" w:hRule="atLeast"/>
        </w:trPr>
        <w:tc>
          <w:tcPr>
            <w:tcW w:w="2411" w:type="dxa"/>
            <w:tcBorders>
              <w:left w:val="single" w:sz="8" w:space="0" w:color="001077"/>
              <w:bottom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spacing w:lineRule="exact" w:line="20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  <w:tc>
          <w:tcPr>
            <w:tcW w:w="2376" w:type="dxa"/>
            <w:tcBorders>
              <w:bottom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spacing w:lineRule="exact" w:line="20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263" w:hRule="atLeast"/>
        </w:trPr>
        <w:tc>
          <w:tcPr>
            <w:tcW w:w="2411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i/>
                <w:iCs/>
                <w:w w:val="89"/>
                <w:sz w:val="20"/>
                <w:szCs w:val="20"/>
              </w:rPr>
              <w:t>не более 30 000 руб. –</w:t>
            </w:r>
          </w:p>
        </w:tc>
        <w:tc>
          <w:tcPr>
            <w:tcW w:w="2376" w:type="dxa"/>
            <w:vMerge w:val="restart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i/>
                <w:iCs/>
                <w:w w:val="90"/>
                <w:sz w:val="20"/>
                <w:szCs w:val="20"/>
              </w:rPr>
              <w:t>единовременно</w:t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125" w:hRule="atLeast"/>
        </w:trPr>
        <w:tc>
          <w:tcPr>
            <w:tcW w:w="2411" w:type="dxa"/>
            <w:vMerge w:val="restart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i/>
                <w:iCs/>
                <w:w w:val="88"/>
                <w:sz w:val="20"/>
                <w:szCs w:val="20"/>
              </w:rPr>
              <w:t>курс обучения</w:t>
            </w:r>
          </w:p>
        </w:tc>
        <w:tc>
          <w:tcPr>
            <w:tcW w:w="2376" w:type="dxa"/>
            <w:vMerge w:val="continue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120" w:hRule="atLeast"/>
        </w:trPr>
        <w:tc>
          <w:tcPr>
            <w:tcW w:w="2411" w:type="dxa"/>
            <w:vMerge w:val="continue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  <w:tc>
          <w:tcPr>
            <w:tcW w:w="2376" w:type="dxa"/>
            <w:tcBorders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  <w:tr>
        <w:trPr>
          <w:trHeight w:val="22" w:hRule="atLeast"/>
        </w:trPr>
        <w:tc>
          <w:tcPr>
            <w:tcW w:w="2411" w:type="dxa"/>
            <w:tcBorders>
              <w:left w:val="single" w:sz="8" w:space="0" w:color="001077"/>
              <w:bottom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spacing w:lineRule="exact" w:line="20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  <w:tc>
          <w:tcPr>
            <w:tcW w:w="2376" w:type="dxa"/>
            <w:tcBorders>
              <w:bottom w:val="single" w:sz="8" w:space="0" w:color="001077"/>
              <w:right w:val="single" w:sz="8" w:space="0" w:color="001077"/>
            </w:tcBorders>
            <w:vAlign w:val="bottom"/>
          </w:tcPr>
          <w:p>
            <w:pPr>
              <w:pStyle w:val="Normal"/>
              <w:widowControl w:val="false"/>
              <w:spacing w:lineRule="exact" w:line="20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  <w:tc>
          <w:tcPr>
            <w:tcW w:w="43" w:type="dxa"/>
            <w:tcBorders/>
            <w:vAlign w:val="bottom"/>
          </w:tcPr>
          <w:p>
            <w:pPr>
              <w:pStyle w:val="Normal"/>
              <w:widowControl w:val="false"/>
              <w:rPr>
                <w:sz w:val="1"/>
                <w:szCs w:val="1"/>
              </w:rPr>
            </w:pPr>
            <w:r>
              <w:rPr>
                <w:sz w:val="1"/>
                <w:szCs w:val="1"/>
              </w:rPr>
            </w:r>
          </w:p>
        </w:tc>
      </w:tr>
    </w:tbl>
    <w:p>
      <w:pPr>
        <w:pStyle w:val="Normal"/>
        <w:spacing w:lineRule="exact" w:line="2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right="40" w:hanging="0"/>
        <w:jc w:val="center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001077"/>
          <w:sz w:val="21"/>
          <w:szCs w:val="21"/>
        </w:rPr>
        <w:t>Максимальный срок,</w:t>
      </w:r>
    </w:p>
    <w:p>
      <w:pPr>
        <w:pStyle w:val="Normal"/>
        <w:spacing w:lineRule="exact" w:lin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right="40" w:hanging="0"/>
        <w:jc w:val="center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001077"/>
          <w:sz w:val="21"/>
          <w:szCs w:val="21"/>
        </w:rPr>
        <w:t>на который заключается контракт</w:t>
      </w:r>
    </w:p>
    <w:p>
      <w:pPr>
        <w:pStyle w:val="Normal"/>
        <w:spacing w:lineRule="exact" w:line="6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90"/>
        <w:ind w:left="20" w:right="40" w:hanging="0"/>
        <w:jc w:val="both"/>
        <w:rPr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 xml:space="preserve">Общий срок, на который заключается социальный </w:t>
      </w:r>
      <w:r>
        <w:drawing>
          <wp:anchor behindDoc="1" distT="0" distB="0" distL="0" distR="0" simplePos="0" locked="0" layoutInCell="0" allowOverlap="1" relativeHeight="13">
            <wp:simplePos x="0" y="0"/>
            <wp:positionH relativeFrom="column">
              <wp:posOffset>-29210</wp:posOffset>
            </wp:positionH>
            <wp:positionV relativeFrom="paragraph">
              <wp:posOffset>249555</wp:posOffset>
            </wp:positionV>
            <wp:extent cx="3086735" cy="2103755"/>
            <wp:effectExtent l="0" t="0" r="0" b="0"/>
            <wp:wrapNone/>
            <wp:docPr id="11" name="Pictur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 w:cs="Arial" w:ascii="Arial" w:hAnsi="Arial"/>
          <w:sz w:val="20"/>
          <w:szCs w:val="20"/>
        </w:rPr>
        <w:t>контракт, составляет не более чем  12 мес.</w:t>
      </w:r>
    </w:p>
    <w:p>
      <w:pPr>
        <w:pStyle w:val="Normal"/>
        <w:spacing w:lineRule="exact" w:lin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76"/>
        <w:ind w:right="20" w:hanging="0"/>
        <w:jc w:val="center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001077"/>
          <w:sz w:val="21"/>
          <w:szCs w:val="21"/>
        </w:rPr>
        <w:t>Требования к конечному результату по исполнению социального контракта</w:t>
      </w:r>
    </w:p>
    <w:p>
      <w:pPr>
        <w:pStyle w:val="Normal"/>
        <w:spacing w:lineRule="exact" w:lin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90"/>
        <w:ind w:left="380" w:right="40" w:hanging="396"/>
        <w:jc w:val="both"/>
        <w:rPr>
          <w:sz w:val="20"/>
          <w:szCs w:val="20"/>
        </w:rPr>
      </w:pPr>
      <w:r>
        <w:rPr>
          <w:rFonts w:eastAsia="Arial" w:cs="Arial" w:ascii="Arial" w:hAnsi="Arial"/>
          <w:color w:val="000000"/>
          <w:sz w:val="18"/>
          <w:szCs w:val="18"/>
        </w:rPr>
        <w:t>Регистрация гражданина в качестве индивидуального предпринимателя или в качестве налогопла-тельщика налога на профессиональный доход;</w:t>
      </w:r>
    </w:p>
    <w:p>
      <w:pPr>
        <w:pStyle w:val="Normal"/>
        <w:spacing w:lineRule="exact" w:lin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52"/>
        <w:ind w:left="380" w:right="40" w:hanging="396"/>
        <w:jc w:val="both"/>
        <w:rPr>
          <w:sz w:val="20"/>
          <w:szCs w:val="20"/>
        </w:rPr>
      </w:pPr>
      <w:r>
        <w:rPr>
          <w:rFonts w:eastAsia="Arial" w:cs="Arial" w:ascii="Arial" w:hAnsi="Arial"/>
          <w:color w:val="000000"/>
          <w:sz w:val="21"/>
          <w:szCs w:val="21"/>
        </w:rPr>
        <w:t>повышение денежных доходов гражданина (семьи</w:t>
      </w:r>
      <w:r>
        <w:rPr>
          <w:rFonts w:eastAsia="Wingdings" w:cs="Wingdings" w:ascii="Wingdings" w:hAnsi="Wingdings"/>
          <w:b/>
          <w:bCs/>
          <w:color w:val="009EC7"/>
          <w:sz w:val="18"/>
          <w:szCs w:val="18"/>
        </w:rPr>
        <w:t xml:space="preserve"> </w:t>
      </w:r>
      <w:r>
        <w:rPr>
          <w:rFonts w:eastAsia="Arial" w:cs="Arial" w:ascii="Arial" w:hAnsi="Arial"/>
          <w:color w:val="000000"/>
          <w:sz w:val="21"/>
          <w:szCs w:val="21"/>
        </w:rPr>
        <w:t>гражданина) по истечении срока действия социального контракта.</w:t>
      </w:r>
    </w:p>
    <w:p>
      <w:pPr>
        <w:pStyle w:val="Normal"/>
        <w:spacing w:lineRule="exact" w:line="20"/>
        <w:rPr>
          <w:sz w:val="20"/>
          <w:szCs w:val="20"/>
        </w:rPr>
      </w:pPr>
      <w:r>
        <w:rPr>
          <w:sz w:val="20"/>
          <w:szCs w:val="20"/>
        </w:rPr>
        <w:drawing>
          <wp:anchor behindDoc="1" distT="0" distB="0" distL="0" distR="0" simplePos="0" locked="0" layoutInCell="0" allowOverlap="1" relativeHeight="15">
            <wp:simplePos x="0" y="0"/>
            <wp:positionH relativeFrom="column">
              <wp:posOffset>-20320</wp:posOffset>
            </wp:positionH>
            <wp:positionV relativeFrom="paragraph">
              <wp:posOffset>81915</wp:posOffset>
            </wp:positionV>
            <wp:extent cx="3086735" cy="1143635"/>
            <wp:effectExtent l="0" t="0" r="0" b="0"/>
            <wp:wrapNone/>
            <wp:docPr id="12" name="Pictur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0"/>
        <w:rPr>
          <w:sz w:val="20"/>
          <w:szCs w:val="20"/>
        </w:rPr>
      </w:pPr>
      <w:r>
        <w:br w:type="column"/>
      </w:r>
      <w:r>
        <w:rPr>
          <w:sz w:val="20"/>
          <w:szCs w:val="20"/>
        </w:rPr>
      </w:r>
    </w:p>
    <w:p>
      <w:pPr>
        <w:pStyle w:val="Normal"/>
        <w:ind w:right="132" w:hanging="0"/>
        <w:jc w:val="center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001077"/>
          <w:sz w:val="21"/>
          <w:szCs w:val="21"/>
        </w:rPr>
        <w:t>Обязательства гражданина</w:t>
      </w:r>
    </w:p>
    <w:p>
      <w:pPr>
        <w:pStyle w:val="Normal"/>
        <w:spacing w:lineRule="exact" w:lin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right="132" w:hanging="0"/>
        <w:jc w:val="center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001077"/>
          <w:sz w:val="21"/>
          <w:szCs w:val="21"/>
        </w:rPr>
        <w:t>по исполнению социального контракта</w:t>
      </w:r>
    </w:p>
    <w:p>
      <w:pPr>
        <w:pStyle w:val="Normal"/>
        <w:spacing w:lineRule="exact" w:line="6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rFonts w:eastAsia="Arial" w:cs="Arial" w:ascii="Arial" w:hAnsi="Arial"/>
          <w:sz w:val="19"/>
          <w:szCs w:val="19"/>
        </w:rPr>
        <w:t>а) з</w:t>
      </w:r>
      <w:r>
        <w:rPr>
          <w:rFonts w:eastAsia="Arial" w:cs="Arial" w:ascii="Arial" w:hAnsi="Arial"/>
          <w:sz w:val="18"/>
          <w:szCs w:val="18"/>
        </w:rPr>
        <w:t>арегистрироваться в налоговом органе в качестве индивидуального предпринимателя или налогоплатель-</w:t>
      </w:r>
    </w:p>
    <w:p>
      <w:pPr>
        <w:pStyle w:val="Normal"/>
        <w:spacing w:lineRule="exact" w:line="45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jc w:val="both"/>
        <w:rPr/>
      </w:pPr>
      <w:r>
        <w:rPr>
          <w:rFonts w:eastAsia="Arial" w:cs="Arial" w:ascii="Arial" w:hAnsi="Arial"/>
          <w:sz w:val="18"/>
          <w:szCs w:val="18"/>
        </w:rPr>
        <w:t>щика налога на профессиональный доход;</w:t>
      </w:r>
    </w:p>
    <w:p>
      <w:pPr>
        <w:pStyle w:val="Normal"/>
        <w:jc w:val="both"/>
        <w:rPr/>
      </w:pPr>
      <w:r>
        <w:rPr>
          <w:rFonts w:eastAsia="Arial" w:cs="Arial" w:ascii="Arial" w:hAnsi="Arial"/>
          <w:sz w:val="18"/>
          <w:szCs w:val="18"/>
        </w:rPr>
        <w:t>б) пройти тестирование для определения уровня предпринимательских компетенций;</w:t>
      </w:r>
    </w:p>
    <w:p>
      <w:pPr>
        <w:pStyle w:val="Normal"/>
        <w:jc w:val="both"/>
        <w:rPr/>
      </w:pPr>
      <w:r>
        <w:rPr>
          <w:rFonts w:eastAsia="Arial" w:cs="Arial" w:ascii="Arial" w:hAnsi="Arial"/>
          <w:sz w:val="18"/>
          <w:szCs w:val="18"/>
        </w:rPr>
        <w:t>в) до заключения социального контракта пройти обучение для развития предпринимательских компетенций в случае получения неудовлетворительного результата по итогам прохождения тестирования;</w:t>
      </w:r>
    </w:p>
    <w:p>
      <w:pPr>
        <w:pStyle w:val="Normal"/>
        <w:jc w:val="both"/>
        <w:rPr/>
      </w:pPr>
      <w:r>
        <w:rPr>
          <w:rFonts w:eastAsia="Arial" w:cs="Arial" w:ascii="Arial" w:hAnsi="Arial"/>
          <w:sz w:val="18"/>
          <w:szCs w:val="18"/>
        </w:rPr>
        <w:t>г) пройти в период действия социального контракта профессиональное обучение или получить дополнительное профессиональное образование, если указанное обязательство предусмотрено программой социальной адаптации;</w:t>
      </w:r>
    </w:p>
    <w:p>
      <w:pPr>
        <w:pStyle w:val="Normal"/>
        <w:spacing w:lineRule="exact" w:line="1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rPr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  <w:t xml:space="preserve">д) приобрести в период действия социального контракта основные средства, материально-производственные запасы, принять имущественные обязательства (не более 15 процентов от назначаемой выплаты), оплатить расходы, связанные с  подготовкой и оформлением разрешительной документации, приобретением программного обеспечения, носителей электронной подписи (не более 10 процентов назначаемой выплаты),  необходимые для осуществления индивидуальной предпринимательской деятельности, и представить орган социальной защиты населения подтверждающие документы; </w:t>
      </w:r>
    </w:p>
    <w:p>
      <w:pPr>
        <w:pStyle w:val="Normal"/>
        <w:rPr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  <w:t>е) представить в орган социальной защиты населе-</w:t>
      </w:r>
    </w:p>
    <w:p>
      <w:pPr>
        <w:pStyle w:val="Normal"/>
        <w:spacing w:lineRule="exact" w:line="3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rPr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  <w:t>ния документы, подтверждающие факт расходования</w:t>
      </w:r>
    </w:p>
    <w:p>
      <w:pPr>
        <w:pStyle w:val="Normal"/>
        <w:spacing w:lineRule="exact" w:line="45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rPr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  <w:t>финансовых средств при приобретении основных средств, товарно-материальных ценностей;</w:t>
      </w:r>
    </w:p>
    <w:p>
      <w:pPr>
        <w:pStyle w:val="Normal"/>
        <w:spacing w:lineRule="exact" w:lin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40"/>
        <w:ind w:right="132" w:hanging="0"/>
        <w:jc w:val="both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  <w:drawing>
          <wp:anchor behindDoc="1" distT="0" distB="0" distL="0" distR="0" simplePos="0" locked="0" layoutInCell="0" allowOverlap="1" relativeHeight="16">
            <wp:simplePos x="0" y="0"/>
            <wp:positionH relativeFrom="column">
              <wp:posOffset>-19050</wp:posOffset>
            </wp:positionH>
            <wp:positionV relativeFrom="paragraph">
              <wp:posOffset>223520</wp:posOffset>
            </wp:positionV>
            <wp:extent cx="3084830" cy="1520825"/>
            <wp:effectExtent l="0" t="0" r="0" b="0"/>
            <wp:wrapNone/>
            <wp:docPr id="13" name="Picture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0"/>
        <w:rPr>
          <w:sz w:val="20"/>
          <w:szCs w:val="20"/>
        </w:rPr>
      </w:pPr>
      <w:r>
        <w:br w:type="column"/>
      </w:r>
      <w:r>
        <w:rPr>
          <w:sz w:val="20"/>
          <w:szCs w:val="20"/>
        </w:rPr>
      </w:r>
      <w:bookmarkStart w:id="3" w:name="_GoBack"/>
      <w:bookmarkStart w:id="4" w:name="_GoBack"/>
      <w:bookmarkEnd w:id="4"/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40"/>
        <w:ind w:right="132" w:hanging="0"/>
        <w:jc w:val="both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  <w:t>ж) возвратить денежные средства, полученные в качестве государственной социальной помощи, в полном объеме и в срок не позднее 30 дней со дня прекращения индивидуальной предпринимательской деятельности (в случае ее прекращения в период действия социального контракта по собственной инициативе либо со дня снятия гражданина с учёта в налоговом органе в качестве налогоплательщика налога на профессиональный доход), а также в случаях выявления органом социальной защиты нецелевого использования денежных средств;</w:t>
      </w:r>
    </w:p>
    <w:p>
      <w:pPr>
        <w:pStyle w:val="Normal"/>
        <w:spacing w:lineRule="auto" w:line="240"/>
        <w:ind w:right="132" w:hanging="0"/>
        <w:jc w:val="both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  <w:t xml:space="preserve">з) </w:t>
      </w:r>
      <w:r>
        <w:rPr>
          <w:rFonts w:eastAsia="Arial" w:cs="Arial" w:ascii="Arial" w:hAnsi="Arial"/>
          <w:b/>
          <w:bCs/>
          <w:color w:val="000000"/>
          <w:sz w:val="18"/>
          <w:szCs w:val="18"/>
        </w:rPr>
        <w:t>осуществлять предпринимательскую деятельность, в том числе в качестве налогоплательщика налога на профессиональный доход, в период срока действия социального контракта и не менее чем в течение 12 месяцев со дня окончания срока действия социального контракта;</w:t>
      </w:r>
    </w:p>
    <w:p>
      <w:pPr>
        <w:pStyle w:val="Normal"/>
        <w:spacing w:lineRule="auto" w:line="240"/>
        <w:ind w:right="132" w:hanging="0"/>
        <w:jc w:val="both"/>
        <w:rPr>
          <w:b w:val="false"/>
          <w:bCs w:val="false"/>
          <w:color w:val="auto"/>
          <w:sz w:val="18"/>
          <w:szCs w:val="18"/>
        </w:rPr>
      </w:pPr>
      <w:r>
        <w:rPr>
          <w:rFonts w:eastAsia="Arial" w:cs="Arial" w:ascii="Arial" w:hAnsi="Arial"/>
          <w:b w:val="false"/>
          <w:bCs w:val="false"/>
          <w:color w:val="auto"/>
          <w:sz w:val="18"/>
          <w:szCs w:val="18"/>
        </w:rPr>
        <w:t>и) представлять документы (сведения), необходимые для контроля за выполнением обязательств, предусмотренных социальным контрактом, и мероприятий программы социальной адаптации, контроля за целевым использованием денежных средств.</w:t>
      </w:r>
    </w:p>
    <w:p>
      <w:pPr>
        <w:pStyle w:val="Normal"/>
        <w:spacing w:lineRule="auto" w:line="240"/>
        <w:ind w:right="132" w:hanging="0"/>
        <w:jc w:val="both"/>
        <w:rPr>
          <w:b w:val="false"/>
          <w:bCs w:val="false"/>
          <w:color w:val="auto"/>
          <w:sz w:val="18"/>
          <w:szCs w:val="18"/>
        </w:rPr>
      </w:pPr>
      <w:r>
        <w:rPr>
          <w:b w:val="false"/>
          <w:bCs w:val="false"/>
          <w:color w:val="auto"/>
          <w:sz w:val="18"/>
          <w:szCs w:val="18"/>
        </w:rPr>
      </w:r>
    </w:p>
    <w:p>
      <w:pPr>
        <w:pStyle w:val="Normal"/>
        <w:spacing w:lineRule="auto" w:line="240"/>
        <w:ind w:right="132" w:hanging="0"/>
        <w:jc w:val="both"/>
        <w:rPr>
          <w:b w:val="false"/>
          <w:bCs w:val="false"/>
          <w:color w:val="auto"/>
          <w:sz w:val="18"/>
          <w:szCs w:val="18"/>
        </w:rPr>
      </w:pPr>
      <w:r>
        <w:rPr>
          <w:b w:val="false"/>
          <w:bCs w:val="false"/>
          <w:color w:val="auto"/>
          <w:sz w:val="18"/>
          <w:szCs w:val="18"/>
        </w:rPr>
      </w:r>
    </w:p>
    <w:p>
      <w:pPr>
        <w:pStyle w:val="Normal"/>
        <w:spacing w:lineRule="auto" w:line="240"/>
        <w:ind w:right="132" w:hanging="0"/>
        <w:jc w:val="both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</w:r>
    </w:p>
    <w:p>
      <w:pPr>
        <w:pStyle w:val="Normal"/>
        <w:ind w:left="348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348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348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348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348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348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348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348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348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348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348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348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348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348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348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348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40"/>
        <w:ind w:left="368" w:hanging="359"/>
        <w:rPr>
          <w:rFonts w:ascii="Arial" w:hAnsi="Arial"/>
          <w:sz w:val="18"/>
          <w:szCs w:val="18"/>
        </w:rPr>
      </w:pPr>
      <w:r>
        <w:drawing>
          <wp:anchor behindDoc="1" distT="0" distB="0" distL="0" distR="0" simplePos="0" locked="0" layoutInCell="0" allowOverlap="1" relativeHeight="14">
            <wp:simplePos x="0" y="0"/>
            <wp:positionH relativeFrom="column">
              <wp:posOffset>-101600</wp:posOffset>
            </wp:positionH>
            <wp:positionV relativeFrom="paragraph">
              <wp:posOffset>-2724785</wp:posOffset>
            </wp:positionV>
            <wp:extent cx="3217545" cy="2420620"/>
            <wp:effectExtent l="0" t="0" r="0" b="0"/>
            <wp:wrapNone/>
            <wp:docPr id="14" name="Picture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5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Wingdings" w:cs="Wingdings" w:ascii="Arial" w:hAnsi="Arial"/>
          <w:b/>
          <w:bCs/>
          <w:color w:val="009EC7"/>
          <w:sz w:val="18"/>
          <w:szCs w:val="18"/>
        </w:rPr>
        <w:t xml:space="preserve">                </w:t>
      </w:r>
    </w:p>
    <w:p>
      <w:pPr>
        <w:pStyle w:val="Normal"/>
        <w:spacing w:lineRule="exact" w:line="20"/>
        <w:rPr>
          <w:sz w:val="20"/>
          <w:szCs w:val="20"/>
        </w:rPr>
      </w:pPr>
      <w:r>
        <w:rPr>
          <w:sz w:val="20"/>
          <w:szCs w:val="20"/>
        </w:rPr>
        <w:drawing>
          <wp:anchor behindDoc="1" distT="0" distB="0" distL="0" distR="0" simplePos="0" locked="0" layoutInCell="0" allowOverlap="1" relativeHeight="12">
            <wp:simplePos x="0" y="0"/>
            <wp:positionH relativeFrom="column">
              <wp:posOffset>1845310</wp:posOffset>
            </wp:positionH>
            <wp:positionV relativeFrom="paragraph">
              <wp:posOffset>-132080</wp:posOffset>
            </wp:positionV>
            <wp:extent cx="642620" cy="681990"/>
            <wp:effectExtent l="0" t="0" r="0" b="0"/>
            <wp:wrapNone/>
            <wp:docPr id="15" name="Picture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6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type w:val="continuous"/>
          <w:pgSz w:orient="landscape" w:w="16838" w:h="11906"/>
          <w:pgMar w:left="490" w:right="598" w:gutter="0" w:header="0" w:top="139" w:footer="0" w:bottom="88"/>
          <w:cols w:num="3" w:equalWidth="false" w:sep="false">
            <w:col w:w="4790" w:space="720"/>
            <w:col w:w="4799" w:space="720"/>
            <w:col w:w="4720"/>
          </w:cols>
          <w:formProt w:val="false"/>
          <w:textDirection w:val="lrTb"/>
          <w:docGrid w:type="default" w:linePitch="600" w:charSpace="36864"/>
        </w:sectPr>
      </w:pPr>
    </w:p>
    <w:p>
      <w:pPr>
        <w:pStyle w:val="Normal"/>
        <w:ind w:left="300" w:hanging="0"/>
        <w:rPr>
          <w:sz w:val="20"/>
          <w:szCs w:val="20"/>
        </w:rPr>
      </w:pPr>
      <w:r>
        <w:rPr>
          <w:rFonts w:eastAsia="Arial" w:cs="Arial" w:ascii="Arial" w:hAnsi="Arial"/>
          <w:b/>
          <w:bCs/>
          <w:color w:val="FB0015"/>
          <w:sz w:val="18"/>
          <w:szCs w:val="18"/>
        </w:rPr>
        <w:t>ОСУЩЕСТВЛЕНИЕ ИНДИВИДУАЛЬНОЙ ПРЕДПРИНИМАТЕЛЬСКОЙ ДЕЯТЕЛЬНОСТИ * ОСУЩЕСТВЛЕНИЕ ИНДИВИДУАЛЬНОЙ ПРЕДПРИНИМАТЕЛЬСКОЙ ДЕЯТЕЛЬНОСТИ</w:t>
      </w:r>
    </w:p>
    <w:sectPr>
      <w:type w:val="continuous"/>
      <w:pgSz w:orient="landscape" w:w="16838" w:h="11906"/>
      <w:pgMar w:left="490" w:right="598" w:gutter="0" w:header="0" w:top="139" w:footer="0" w:bottom="88"/>
      <w:formProt w:val="false"/>
      <w:textDirection w:val="lrTb"/>
      <w:docGrid w:type="default" w:linePitch="600" w:charSpace="3686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  <w:font w:name="Arial">
    <w:charset w:val="01"/>
    <w:family w:val="roman"/>
    <w:pitch w:val="default"/>
  </w:font>
  <w:font w:name="Wingdings">
    <w:charset w:val="01"/>
    <w:family w:val="roman"/>
    <w:pitch w:val="default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В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40"/>
  <w:defaultTabStop w:val="720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" w:cs="Times New Roman" w:eastAsiaTheme="minorEastAsia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" w:cs="Times New Roman" w:eastAsiaTheme="minorEastAsia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uiPriority w:val="99"/>
    <w:semiHidden/>
    <w:qFormat/>
    <w:rsid w:val="00c258a3"/>
    <w:rPr>
      <w:rFonts w:ascii="Tahoma" w:hAnsi="Tahoma" w:cs="Tahoma"/>
      <w:sz w:val="16"/>
      <w:szCs w:val="16"/>
    </w:rPr>
  </w:style>
  <w:style w:type="character" w:styleId="-" w:customStyle="1">
    <w:name w:val="Hyperlink"/>
    <w:rPr>
      <w:color w:val="000080"/>
      <w:u w:val="single"/>
    </w:rPr>
  </w:style>
  <w:style w:type="paragraph" w:styleId="Style15" w:customStyle="1">
    <w:name w:val="Заголовок"/>
    <w:basedOn w:val="Normal"/>
    <w:next w:val="Style16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ascii="PT Astra Serif" w:hAnsi="PT Astra Serif" w:cs="Noto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ascii="PT Astra Serif" w:hAnsi="PT Astra Serif" w:cs="Noto Sans Devanagari"/>
      <w:lang w:val="zxx" w:eastAsia="zxx" w:bidi="zxx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BalloonText">
    <w:name w:val="Balloon Text"/>
    <w:basedOn w:val="Normal"/>
    <w:uiPriority w:val="99"/>
    <w:semiHidden/>
    <w:unhideWhenUsed/>
    <w:qFormat/>
    <w:rsid w:val="00c258a3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hyperlink" Target="http://usolieuszn.ucoz.ru/" TargetMode="External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jpeg"/><Relationship Id="rId16" Type="http://schemas.openxmlformats.org/officeDocument/2006/relationships/numbering" Target="numbering.xml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Application>LibreOffice/7.5.2.1$Linux_X86_64 LibreOffice_project/50$Build-1</Application>
  <AppVersion>15.0000</AppVersion>
  <Pages>2</Pages>
  <Words>674</Words>
  <Characters>5117</Characters>
  <CharactersWithSpaces>5767</CharactersWithSpaces>
  <Paragraphs>64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2021-03-31T06:24:00Z</dcterms:created>
  <dc:creator>Windows User</dc:creator>
  <dc:description/>
  <dc:language>ru-RU</dc:language>
  <cp:lastModifiedBy/>
  <cp:lastPrinted>2025-01-20T09:02:55Z</cp:lastPrinted>
  <dcterms:modified xsi:type="dcterms:W3CDTF">2025-01-20T09:04:05Z</dcterms:modified>
  <cp:revision>37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